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pPr>
      <w:r>
        <w:rPr>
          <w:rFonts w:ascii="Arial" w:cs="Arial" w:eastAsia="Arial" w:hAnsi="Arial"/>
          <w:b/>
          <w:bCs/>
          <w:caps/>
          <w:color w:val="8B4513"/>
          <w:sz w:val="20"/>
          <w:szCs w:val="20"/>
        </w:rPr>
        <w:t xml:space="preserve">TYMMBER U  ·  NATURAL SCIENCES DEPARTMENT</w:t>
      </w:r>
    </w:p>
    <w:p>
      <w:pPr>
        <w:spacing w:after="80" w:before="0"/>
      </w:pPr>
      <w:r>
        <w:rPr>
          <w:rFonts w:ascii="Arial" w:cs="Arial" w:eastAsia="Arial" w:hAnsi="Arial"/>
          <w:color w:val="4A4A4A"/>
          <w:sz w:val="20"/>
          <w:szCs w:val="20"/>
        </w:rPr>
        <w:t xml:space="preserve">Test the Claim  ·  TTC-NS-001</w:t>
      </w:r>
    </w:p>
    <w:p>
      <w:pPr>
        <w:pBdr>
          <w:bottom w:val="single" w:color="C8A96E" w:sz="4" w:space="1"/>
        </w:pBdr>
        <w:spacing w:after="240" w:before="240"/>
      </w:pPr>
    </w:p>
    <w:p>
      <w:pPr>
        <w:spacing w:after="80" w:before="80"/>
      </w:pPr>
      <w:r>
        <w:rPr>
          <w:rFonts w:ascii="Arial" w:cs="Arial" w:eastAsia="Arial" w:hAnsi="Arial"/>
          <w:b/>
          <w:bCs/>
          <w:color w:val="1A1A1A"/>
          <w:sz w:val="40"/>
          <w:szCs w:val="40"/>
        </w:rPr>
        <w:t xml:space="preserve">Terrain Contact and Body Voltage:</w:t>
      </w:r>
    </w:p>
    <w:p>
      <w:pPr>
        <w:spacing w:after="80" w:before="0"/>
      </w:pPr>
      <w:r>
        <w:rPr>
          <w:rFonts w:ascii="Arial" w:cs="Arial" w:eastAsia="Arial" w:hAnsi="Arial"/>
          <w:b/>
          <w:bCs/>
          <w:color w:val="1A1A1A"/>
          <w:sz w:val="40"/>
          <w:szCs w:val="40"/>
        </w:rPr>
        <w:t xml:space="preserve">Does Direct Contact with Natural Ground</w:t>
      </w:r>
    </w:p>
    <w:p>
      <w:pPr>
        <w:spacing w:after="240" w:before="0"/>
      </w:pPr>
      <w:r>
        <w:rPr>
          <w:rFonts w:ascii="Arial" w:cs="Arial" w:eastAsia="Arial" w:hAnsi="Arial"/>
          <w:b/>
          <w:bCs/>
          <w:color w:val="1A1A1A"/>
          <w:sz w:val="40"/>
          <w:szCs w:val="40"/>
        </w:rPr>
        <w:t xml:space="preserve">Measurably Reduce Electrical Charge in the Human Body?</w:t>
      </w:r>
    </w:p>
    <w:p>
      <w:pPr>
        <w:spacing w:after="400" w:before="0"/>
      </w:pPr>
      <w:r>
        <w:rPr>
          <w:rFonts w:ascii="Arial" w:cs="Arial" w:eastAsia="Arial" w:hAnsi="Arial"/>
          <w:i/>
          <w:iCs/>
          <w:color w:val="4A4A4A"/>
          <w:sz w:val="22"/>
          <w:szCs w:val="22"/>
        </w:rPr>
        <w:t xml:space="preserve">A Tier 1 Citizen Science Protocol  ·  Tymmber U Authentic Scientific Method v1.2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Document ID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TTC-NS-001</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Series</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Test the Claim — Natural Sciences</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Claim Under Test</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Direct contact with natural terrain measurably reduces the body's electrical charge (body voltage) compared to isolation from terrain in an artificial EMF environment.</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Method Applied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Tymmber U Authentic Scientific Method v1.2</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Tier</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Tier 1 — Citizen Science (consumer-grade tools)</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Designed For</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Independent researchers, families, educators, Tymmber U enrollees</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Version</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1.0 — April 2026</w:t>
            </w:r>
          </w:p>
        </w:tc>
      </w:tr>
      <w:tr>
        <w:tc>
          <w:tcPr>
            <w:tcW w:type="dxa" w:w="28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1A1A1A"/>
                <w:sz w:val="20"/>
                <w:szCs w:val="20"/>
              </w:rPr>
              <w:t xml:space="preserve">Operating Standard</w:t>
            </w:r>
          </w:p>
        </w:tc>
        <w:tc>
          <w:tcPr>
            <w:tcW w:type="dxa" w:w="65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4A4A4A"/>
                <w:sz w:val="20"/>
                <w:szCs w:val="20"/>
              </w:rPr>
              <w:t xml:space="preserve">Nullius in Verba — Take Nobody's Word For It</w:t>
            </w:r>
          </w:p>
        </w:tc>
      </w:tr>
    </w:tbl>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0 — Document Your Bias Before You Begin</w:t>
      </w:r>
    </w:p>
    <w:p>
      <w:pPr>
        <w:spacing w:after="120" w:before="80"/>
      </w:pPr>
      <w:r>
        <w:rPr>
          <w:rFonts w:ascii="Arial" w:cs="Arial" w:eastAsia="Arial" w:hAnsi="Arial"/>
          <w:color w:val="1A1A1A"/>
          <w:sz w:val="22"/>
          <w:szCs w:val="22"/>
        </w:rPr>
        <w:t xml:space="preserve">This step is completed by each researcher individually before reading further. The following prompts are not answered here — they are answered by you, in your own handwriting, in your bound notebook, before any experiment begins. The Neutral Witness reviews and co-signs your bias documentation before Step 1 proceeds.</w:t>
      </w:r>
    </w:p>
    <w:p>
      <w:pPr>
        <w:spacing w:after="80" w:before="160"/>
      </w:pPr>
    </w:p>
    <w:p>
      <w:pPr>
        <w:pStyle w:val="Heading3"/>
        <w:spacing w:after="80" w:before="240"/>
      </w:pPr>
      <w:r>
        <w:rPr>
          <w:rFonts w:ascii="Arial" w:cs="Arial" w:eastAsia="Arial" w:hAnsi="Arial"/>
          <w:b/>
          <w:bCs/>
          <w:color w:val="4A4A4A"/>
          <w:sz w:val="22"/>
          <w:szCs w:val="22"/>
        </w:rPr>
        <w:t xml:space="preserve">Bias Prompts — Answer These Before Continuing</w:t>
      </w:r>
    </w:p>
    <w:p>
      <w:pPr>
        <w:pStyle w:val="ListParagraph"/>
        <w:numPr>
          <w:ilvl w:val="0"/>
          <w:numId w:val="2"/>
        </w:numPr>
        <w:spacing w:after="60" w:before="60"/>
      </w:pPr>
      <w:r>
        <w:rPr>
          <w:rFonts w:ascii="Arial" w:cs="Arial" w:eastAsia="Arial" w:hAnsi="Arial"/>
          <w:color w:val="1A1A1A"/>
          <w:sz w:val="22"/>
          <w:szCs w:val="22"/>
        </w:rPr>
        <w:t xml:space="preserve">What do I currently believe about whether standing barefoot on the ground affects how my body feels or functions?</w:t>
      </w:r>
    </w:p>
    <w:p>
      <w:pPr>
        <w:pStyle w:val="ListParagraph"/>
        <w:numPr>
          <w:ilvl w:val="0"/>
          <w:numId w:val="2"/>
        </w:numPr>
        <w:spacing w:after="60" w:before="60"/>
      </w:pPr>
      <w:r>
        <w:rPr>
          <w:rFonts w:ascii="Arial" w:cs="Arial" w:eastAsia="Arial" w:hAnsi="Arial"/>
          <w:color w:val="1A1A1A"/>
          <w:sz w:val="22"/>
          <w:szCs w:val="22"/>
        </w:rPr>
        <w:t xml:space="preserve">Do I expect to find a measurable difference in body voltage between terrain contact and indoor isolation? If so, in which direction?</w:t>
      </w:r>
    </w:p>
    <w:p>
      <w:pPr>
        <w:pStyle w:val="ListParagraph"/>
        <w:numPr>
          <w:ilvl w:val="0"/>
          <w:numId w:val="2"/>
        </w:numPr>
        <w:spacing w:after="60" w:before="60"/>
      </w:pPr>
      <w:r>
        <w:rPr>
          <w:rFonts w:ascii="Arial" w:cs="Arial" w:eastAsia="Arial" w:hAnsi="Arial"/>
          <w:color w:val="1A1A1A"/>
          <w:sz w:val="22"/>
          <w:szCs w:val="22"/>
        </w:rPr>
        <w:t xml:space="preserve">What result would surprise me most? What result would confirm what I already think?</w:t>
      </w:r>
    </w:p>
    <w:p>
      <w:pPr>
        <w:pStyle w:val="ListParagraph"/>
        <w:numPr>
          <w:ilvl w:val="0"/>
          <w:numId w:val="2"/>
        </w:numPr>
        <w:spacing w:after="60" w:before="60"/>
      </w:pPr>
      <w:r>
        <w:rPr>
          <w:rFonts w:ascii="Arial" w:cs="Arial" w:eastAsia="Arial" w:hAnsi="Arial"/>
          <w:color w:val="1A1A1A"/>
          <w:sz w:val="22"/>
          <w:szCs w:val="22"/>
        </w:rPr>
        <w:t xml:space="preserve">Am I approaching this experiment hoping to prove the terrain connection is real — or hoping to show the claim is overblown?</w:t>
      </w:r>
    </w:p>
    <w:p>
      <w:pPr>
        <w:pStyle w:val="ListParagraph"/>
        <w:numPr>
          <w:ilvl w:val="0"/>
          <w:numId w:val="2"/>
        </w:numPr>
        <w:spacing w:after="60" w:before="60"/>
      </w:pPr>
      <w:r>
        <w:rPr>
          <w:rFonts w:ascii="Arial" w:cs="Arial" w:eastAsia="Arial" w:hAnsi="Arial"/>
          <w:color w:val="1A1A1A"/>
          <w:sz w:val="22"/>
          <w:szCs w:val="22"/>
        </w:rPr>
        <w:t xml:space="preserve">Do I have any financial, personal, or institutional interest in what this experiment shows?</w:t>
      </w:r>
    </w:p>
    <w:p>
      <w:pPr>
        <w:spacing w:after="120" w:before="80"/>
      </w:pPr>
      <w:r>
        <w:rPr>
          <w:rFonts w:ascii="Arial" w:cs="Arial" w:eastAsia="Arial" w:hAnsi="Arial"/>
          <w:color w:val="1A1A1A"/>
          <w:sz w:val="22"/>
          <w:szCs w:val="22"/>
        </w:rPr>
        <w:t xml:space="preserve">Write your answers in plain language. A documented bias is a manageable bias. There are no wrong answers. There is only honest documentation or the absence of it.</w:t>
      </w:r>
    </w:p>
    <w:p>
      <w:pPr>
        <w:pBdr>
          <w:left w:val="single" w:color="8B4513" w:sz="16"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reviews and co-signs researcher bias documentation before Step 1 begins.</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1 — The Question</w:t>
      </w:r>
    </w:p>
    <w:p>
      <w:pPr>
        <w:pBdr>
          <w:left w:val="single" w:color="8B4513" w:sz="12" w:space="12"/>
        </w:pBdr>
        <w:spacing w:after="160" w:before="160"/>
        <w:ind w:left="720" w:right="720"/>
      </w:pPr>
      <w:r>
        <w:rPr>
          <w:rFonts w:ascii="Arial" w:cs="Arial" w:eastAsia="Arial" w:hAnsi="Arial"/>
          <w:i/>
          <w:iCs/>
          <w:color w:val="4A4A4A"/>
          <w:sz w:val="22"/>
          <w:szCs w:val="22"/>
        </w:rPr>
        <w:t xml:space="preserve">Does direct skin contact with natural terrain measurably reduce the electrical charge (body voltage) recorded on the human body compared to a condition of physical isolation from the ground in an environment with typical artificial EMF sources?</w:t>
      </w:r>
    </w:p>
    <w:p>
      <w:pPr>
        <w:spacing w:after="120" w:before="80"/>
      </w:pPr>
      <w:r>
        <w:rPr>
          <w:rFonts w:ascii="Arial" w:cs="Arial" w:eastAsia="Arial" w:hAnsi="Arial"/>
          <w:color w:val="1A1A1A"/>
          <w:sz w:val="22"/>
          <w:szCs w:val="22"/>
        </w:rPr>
        <w:t xml:space="preserve">This question is held open. The experiment is designed to follow the data in either direction. A result showing no measurable difference is as valid as a result showing a large one — and more important to the public record than a result that is never tested.</w:t>
      </w:r>
    </w:p>
    <w:p>
      <w:pPr>
        <w:pStyle w:val="Heading3"/>
        <w:spacing w:after="80" w:before="240"/>
      </w:pPr>
      <w:r>
        <w:rPr>
          <w:rFonts w:ascii="Arial" w:cs="Arial" w:eastAsia="Arial" w:hAnsi="Arial"/>
          <w:b/>
          <w:bCs/>
          <w:color w:val="4A4A4A"/>
          <w:sz w:val="22"/>
          <w:szCs w:val="22"/>
        </w:rPr>
        <w:t xml:space="preserve">Why This Question</w:t>
      </w:r>
    </w:p>
    <w:p>
      <w:pPr>
        <w:spacing w:after="120" w:before="80"/>
      </w:pPr>
      <w:r>
        <w:rPr>
          <w:rFonts w:ascii="Arial" w:cs="Arial" w:eastAsia="Arial" w:hAnsi="Arial"/>
          <w:color w:val="1A1A1A"/>
          <w:sz w:val="22"/>
          <w:szCs w:val="22"/>
        </w:rPr>
        <w:t xml:space="preserve">Two independent streams of peer-reviewed research converge on this question without yet being formally connected in the literature.</w:t>
      </w:r>
    </w:p>
    <w:p>
      <w:pPr>
        <w:spacing w:after="120" w:before="80"/>
      </w:pPr>
      <w:r>
        <w:rPr>
          <w:rFonts w:ascii="Arial" w:cs="Arial" w:eastAsia="Arial" w:hAnsi="Arial"/>
          <w:color w:val="1A1A1A"/>
          <w:sz w:val="22"/>
          <w:szCs w:val="22"/>
        </w:rPr>
        <w:t xml:space="preserve">The first stream — Martin Pall's voltage-gated calcium channel (VGCC) research, published in the Journal of Cellular and Molecular Medicine (2013) and replicated across 23 subsequent studies — establishes a specific mechanism by which artificial EMF environments activate cellular ion channels, triggering a downstream cascade of nitric oxide, peroxynitrite, oxidative stress, and DNA strand disruption. This mechanism is documented at the cellular level. What has not been directly measured is whether natural terrain contact modifies the electrical conditions that drive that activation.</w:t>
      </w:r>
    </w:p>
    <w:p>
      <w:pPr>
        <w:spacing w:after="120" w:before="80"/>
      </w:pPr>
      <w:r>
        <w:rPr>
          <w:rFonts w:ascii="Arial" w:cs="Arial" w:eastAsia="Arial" w:hAnsi="Arial"/>
          <w:color w:val="1A1A1A"/>
          <w:sz w:val="22"/>
          <w:szCs w:val="22"/>
        </w:rPr>
        <w:t xml:space="preserve">The second stream — earthing and grounding research (Chevalier, Sokal, Oschman, Brown 2016, among others) — has measured that body voltage drops measurably when a person is connected to the earth's surface. The 2016 Brown study published in the Journal of Alternative and Complementary Medicine found that AC body voltage was reduced by an average of 58-fold in grounded versus ungrounded participants.</w:t>
      </w:r>
    </w:p>
    <w:p>
      <w:pPr>
        <w:spacing w:after="120" w:before="80"/>
      </w:pPr>
      <w:r>
        <w:rPr>
          <w:rFonts w:ascii="Arial" w:cs="Arial" w:eastAsia="Arial" w:hAnsi="Arial"/>
          <w:color w:val="1A1A1A"/>
          <w:sz w:val="22"/>
          <w:szCs w:val="22"/>
        </w:rPr>
        <w:t xml:space="preserve">What this experiment tests is the gap between those two streams: whether the voltage differential documented in controlled earthing studies holds in natural terrain conditions — barefoot on actual ground, in actual outdoor environments — versus indoor isolation with typical household EMF sources present. That is the connective measurement neither stream has yet directly made in a citizen-science-replicable format.</w:t>
      </w:r>
    </w:p>
    <w:p>
      <w:pPr>
        <w:spacing w:after="120" w:before="80"/>
      </w:pPr>
      <w:r>
        <w:rPr>
          <w:rFonts w:ascii="Arial" w:cs="Arial" w:eastAsia="Arial" w:hAnsi="Arial"/>
          <w:color w:val="1A1A1A"/>
          <w:sz w:val="22"/>
          <w:szCs w:val="22"/>
        </w:rPr>
        <w:t xml:space="preserve">This is TTC-NS-001. It is designed to be the first rung of a ladder. Its findings will inform TTC-NS-002, which adds terrain variables (surface type, moisture, elevation). The clinical Tier 2 version — measuring VGCC biomarkers alongside body voltage — is the horizon this protocol is building toward.</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2 — Confirm the Neutral Witness</w:t>
      </w:r>
    </w:p>
    <w:p>
      <w:pPr>
        <w:spacing w:after="120" w:before="80"/>
      </w:pPr>
      <w:r>
        <w:rPr>
          <w:rFonts w:ascii="Arial" w:cs="Arial" w:eastAsia="Arial" w:hAnsi="Arial"/>
          <w:color w:val="1A1A1A"/>
          <w:sz w:val="22"/>
          <w:szCs w:val="22"/>
        </w:rPr>
        <w:t xml:space="preserve">Before any research, measurement, or site selection begins, identify and confirm your Neutral Witness using the full criteria of the Tymmber U Authentic Scientific Method v1.2.</w:t>
      </w:r>
    </w:p>
    <w:p>
      <w:pPr>
        <w:pStyle w:val="Heading3"/>
        <w:spacing w:after="80" w:before="240"/>
      </w:pPr>
      <w:r>
        <w:rPr>
          <w:rFonts w:ascii="Arial" w:cs="Arial" w:eastAsia="Arial" w:hAnsi="Arial"/>
          <w:b/>
          <w:bCs/>
          <w:color w:val="4A4A4A"/>
          <w:sz w:val="22"/>
          <w:szCs w:val="22"/>
        </w:rPr>
        <w:t xml:space="preserve">Neutral Witness Qualification Checklist</w:t>
      </w:r>
    </w:p>
    <w:p>
      <w:pPr>
        <w:spacing w:after="120" w:before="80"/>
      </w:pPr>
      <w:r>
        <w:rPr>
          <w:rFonts w:ascii="Arial" w:cs="Arial" w:eastAsia="Arial" w:hAnsi="Arial"/>
          <w:color w:val="1A1A1A"/>
          <w:sz w:val="22"/>
          <w:szCs w:val="22"/>
        </w:rPr>
        <w:t xml:space="preserve">The Neutral Witness for this experiment must meet ALL of the following:</w:t>
      </w:r>
    </w:p>
    <w:p>
      <w:pPr>
        <w:pStyle w:val="ListParagraph"/>
        <w:numPr>
          <w:ilvl w:val="0"/>
          <w:numId w:val="2"/>
        </w:numPr>
        <w:spacing w:after="60" w:before="60"/>
      </w:pPr>
      <w:r>
        <w:rPr>
          <w:rFonts w:ascii="Arial" w:cs="Arial" w:eastAsia="Arial" w:hAnsi="Arial"/>
          <w:color w:val="1A1A1A"/>
          <w:sz w:val="22"/>
          <w:szCs w:val="22"/>
        </w:rPr>
        <w:t xml:space="preserve">Technical competence sufficient to operate a body voltage meter and verify that readings are being taken correctly.</w:t>
      </w:r>
    </w:p>
    <w:p>
      <w:pPr>
        <w:pStyle w:val="ListParagraph"/>
        <w:numPr>
          <w:ilvl w:val="0"/>
          <w:numId w:val="2"/>
        </w:numPr>
        <w:spacing w:after="60" w:before="60"/>
      </w:pPr>
      <w:r>
        <w:rPr>
          <w:rFonts w:ascii="Arial" w:cs="Arial" w:eastAsia="Arial" w:hAnsi="Arial"/>
          <w:color w:val="1A1A1A"/>
          <w:sz w:val="22"/>
          <w:szCs w:val="22"/>
        </w:rPr>
        <w:t xml:space="preserve">No financial interest in what the experiment shows — no relationship with grounding product manufacturers, EMF product companies, or any party that benefits from a specific result.</w:t>
      </w:r>
    </w:p>
    <w:p>
      <w:pPr>
        <w:pStyle w:val="ListParagraph"/>
        <w:numPr>
          <w:ilvl w:val="0"/>
          <w:numId w:val="2"/>
        </w:numPr>
        <w:spacing w:after="60" w:before="60"/>
      </w:pPr>
      <w:r>
        <w:rPr>
          <w:rFonts w:ascii="Arial" w:cs="Arial" w:eastAsia="Arial" w:hAnsi="Arial"/>
          <w:color w:val="1A1A1A"/>
          <w:sz w:val="22"/>
          <w:szCs w:val="22"/>
        </w:rPr>
        <w:t xml:space="preserve">No institutional affiliation that benefits from a specific outcome.</w:t>
      </w:r>
    </w:p>
    <w:p>
      <w:pPr>
        <w:pStyle w:val="ListParagraph"/>
        <w:numPr>
          <w:ilvl w:val="0"/>
          <w:numId w:val="2"/>
        </w:numPr>
        <w:spacing w:after="60" w:before="60"/>
      </w:pPr>
      <w:r>
        <w:rPr>
          <w:rFonts w:ascii="Arial" w:cs="Arial" w:eastAsia="Arial" w:hAnsi="Arial"/>
          <w:color w:val="1A1A1A"/>
          <w:sz w:val="22"/>
          <w:szCs w:val="22"/>
        </w:rPr>
        <w:t xml:space="preserve">No professional or personal relationship with any researcher conducting the experiment.</w:t>
      </w:r>
    </w:p>
    <w:p>
      <w:pPr>
        <w:pStyle w:val="ListParagraph"/>
        <w:numPr>
          <w:ilvl w:val="0"/>
          <w:numId w:val="2"/>
        </w:numPr>
        <w:spacing w:after="60" w:before="60"/>
      </w:pPr>
      <w:r>
        <w:rPr>
          <w:rFonts w:ascii="Arial" w:cs="Arial" w:eastAsia="Arial" w:hAnsi="Arial"/>
          <w:color w:val="1A1A1A"/>
          <w:sz w:val="22"/>
          <w:szCs w:val="22"/>
        </w:rPr>
        <w:t xml:space="preserve">No relationship with any manufacturer of tools or equipment used.</w:t>
      </w:r>
    </w:p>
    <w:p>
      <w:pPr>
        <w:spacing w:after="120" w:before="80"/>
      </w:pPr>
      <w:r>
        <w:rPr>
          <w:rFonts w:ascii="Arial" w:cs="Arial" w:eastAsia="Arial" w:hAnsi="Arial"/>
          <w:color w:val="1A1A1A"/>
          <w:sz w:val="22"/>
          <w:szCs w:val="22"/>
        </w:rPr>
        <w:t xml:space="preserve">If a fully independent Neutral Witness is not achievable, document honestly: who was the closest available candidate, what relationship existed, and why full independence was not achievable. Partial independence documented honestly is more credible than claimed independence that is not documented at all.</w:t>
      </w:r>
    </w:p>
    <w:p>
      <w:pPr>
        <w:pStyle w:val="Heading3"/>
        <w:spacing w:after="80" w:before="240"/>
      </w:pPr>
      <w:r>
        <w:rPr>
          <w:rFonts w:ascii="Arial" w:cs="Arial" w:eastAsia="Arial" w:hAnsi="Arial"/>
          <w:b/>
          <w:bCs/>
          <w:color w:val="4A4A4A"/>
          <w:sz w:val="22"/>
          <w:szCs w:val="22"/>
        </w:rPr>
        <w:t xml:space="preserve">Neutral Witness Documentation — Record in Notebook</w:t>
      </w:r>
    </w:p>
    <w:p>
      <w:pPr>
        <w:pStyle w:val="ListParagraph"/>
        <w:numPr>
          <w:ilvl w:val="0"/>
          <w:numId w:val="2"/>
        </w:numPr>
        <w:spacing w:after="60" w:before="60"/>
      </w:pPr>
      <w:r>
        <w:rPr>
          <w:rFonts w:ascii="Arial" w:cs="Arial" w:eastAsia="Arial" w:hAnsi="Arial"/>
          <w:color w:val="1A1A1A"/>
          <w:sz w:val="22"/>
          <w:szCs w:val="22"/>
        </w:rPr>
        <w:t xml:space="preserve">Full name of Neutral Witness</w:t>
      </w:r>
    </w:p>
    <w:p>
      <w:pPr>
        <w:pStyle w:val="ListParagraph"/>
        <w:numPr>
          <w:ilvl w:val="0"/>
          <w:numId w:val="2"/>
        </w:numPr>
        <w:spacing w:after="60" w:before="60"/>
      </w:pPr>
      <w:r>
        <w:rPr>
          <w:rFonts w:ascii="Arial" w:cs="Arial" w:eastAsia="Arial" w:hAnsi="Arial"/>
          <w:color w:val="1A1A1A"/>
          <w:sz w:val="22"/>
          <w:szCs w:val="22"/>
        </w:rPr>
        <w:t xml:space="preserve">Relevant technical qualifications or background</w:t>
      </w:r>
    </w:p>
    <w:p>
      <w:pPr>
        <w:pStyle w:val="ListParagraph"/>
        <w:numPr>
          <w:ilvl w:val="0"/>
          <w:numId w:val="2"/>
        </w:numPr>
        <w:spacing w:after="60" w:before="60"/>
      </w:pPr>
      <w:r>
        <w:rPr>
          <w:rFonts w:ascii="Arial" w:cs="Arial" w:eastAsia="Arial" w:hAnsi="Arial"/>
          <w:color w:val="1A1A1A"/>
          <w:sz w:val="22"/>
          <w:szCs w:val="22"/>
        </w:rPr>
        <w:t xml:space="preserve">Specific basis for independence from researcher, equipment, and outcome</w:t>
      </w:r>
    </w:p>
    <w:p>
      <w:pPr>
        <w:pStyle w:val="ListParagraph"/>
        <w:numPr>
          <w:ilvl w:val="0"/>
          <w:numId w:val="2"/>
        </w:numPr>
        <w:spacing w:after="60" w:before="60"/>
      </w:pPr>
      <w:r>
        <w:rPr>
          <w:rFonts w:ascii="Arial" w:cs="Arial" w:eastAsia="Arial" w:hAnsi="Arial"/>
          <w:color w:val="1A1A1A"/>
          <w:sz w:val="22"/>
          <w:szCs w:val="22"/>
        </w:rPr>
        <w:t xml:space="preserve">Any relationship that exists and why it does not disqualify the witness — documented honestly</w:t>
      </w:r>
    </w:p>
    <w:p>
      <w:pPr>
        <w:pBdr>
          <w:left w:val="single" w:color="8B4513" w:sz="16"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confirms qualification, is physically present, and co-signs this documentation before any research or experiment begins.</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3 — Background Research and Literature Review</w:t>
      </w:r>
    </w:p>
    <w:p>
      <w:pPr>
        <w:spacing w:after="120" w:before="80"/>
      </w:pPr>
      <w:r>
        <w:rPr>
          <w:rFonts w:ascii="Arial" w:cs="Arial" w:eastAsia="Arial" w:hAnsi="Arial"/>
          <w:color w:val="1A1A1A"/>
          <w:sz w:val="22"/>
          <w:szCs w:val="22"/>
        </w:rPr>
        <w:t xml:space="preserve">The following is the literature review for TTC-NS-001. Researchers running this experiment are expected to read at minimum the primary sources marked with an asterisk. All sources are publicly accessible.</w:t>
      </w:r>
    </w:p>
    <w:p>
      <w:pPr>
        <w:pStyle w:val="Heading3"/>
        <w:spacing w:after="80" w:before="240"/>
      </w:pPr>
      <w:r>
        <w:rPr>
          <w:rFonts w:ascii="Arial" w:cs="Arial" w:eastAsia="Arial" w:hAnsi="Arial"/>
          <w:b/>
          <w:bCs/>
          <w:color w:val="4A4A4A"/>
          <w:sz w:val="22"/>
          <w:szCs w:val="22"/>
        </w:rPr>
        <w:t xml:space="preserve">Prior Experiments Directly Relevant to This Question</w:t>
      </w:r>
    </w:p>
    <w:p>
      <w:pPr>
        <w:spacing w:after="120" w:before="80"/>
      </w:pPr>
      <w:r>
        <w:rPr>
          <w:rFonts w:ascii="Arial" w:cs="Arial" w:eastAsia="Arial" w:hAnsi="Arial"/>
          <w:color w:val="1A1A1A"/>
          <w:sz w:val="22"/>
          <w:szCs w:val="22"/>
        </w:rPr>
        <w:t xml:space="preserve">Brown R. (2016). Effects of Grounding on Body Voltage and Current in the Presence of Electromagnetic Fields. Journal of Alternative and Complementary Medicine, 22(9), 757–759.*</w:t>
      </w:r>
    </w:p>
    <w:p>
      <w:pPr>
        <w:spacing w:after="120" w:before="80"/>
      </w:pPr>
      <w:r>
        <w:rPr>
          <w:rFonts w:ascii="Arial" w:cs="Arial" w:eastAsia="Arial" w:hAnsi="Arial"/>
          <w:color w:val="1A1A1A"/>
          <w:sz w:val="22"/>
          <w:szCs w:val="22"/>
        </w:rPr>
        <w:t xml:space="preserve">Finding: AC body voltage reduced by an average of 58-fold when participants were grounded. AC currents during grounding were several orders of magnitude below the accepted minimum level of perception. 50 participants, ages 12–79.</w:t>
      </w:r>
    </w:p>
    <w:p>
      <w:pPr>
        <w:spacing w:after="0" w:before="120"/>
      </w:pPr>
    </w:p>
    <w:p>
      <w:pPr>
        <w:spacing w:after="120" w:before="80"/>
      </w:pPr>
      <w:r>
        <w:rPr>
          <w:rFonts w:ascii="Arial" w:cs="Arial" w:eastAsia="Arial" w:hAnsi="Arial"/>
          <w:color w:val="1A1A1A"/>
          <w:sz w:val="22"/>
          <w:szCs w:val="22"/>
        </w:rPr>
        <w:t xml:space="preserve">Pall, M.L. (2013). Electromagnetic fields act via activation of voltage-gated calcium channels to produce beneficial or adverse effects. Journal of Cellular and Molecular Medicine, 17(8), 958–965.*</w:t>
      </w:r>
    </w:p>
    <w:p>
      <w:pPr>
        <w:spacing w:after="120" w:before="80"/>
      </w:pPr>
      <w:r>
        <w:rPr>
          <w:rFonts w:ascii="Arial" w:cs="Arial" w:eastAsia="Arial" w:hAnsi="Arial"/>
          <w:color w:val="1A1A1A"/>
          <w:sz w:val="22"/>
          <w:szCs w:val="22"/>
        </w:rPr>
        <w:t xml:space="preserve">Finding: 23 studies demonstrated VGCC activation by low-intensity EMF, with calcium channel blockers blocking or greatly reducing those effects. Downstream pathway: elevated intracellular calcium → nitric oxide → peroxynitrite → oxidative stress → DNA strand breaks.</w:t>
      </w:r>
    </w:p>
    <w:p>
      <w:pPr>
        <w:spacing w:after="0" w:before="120"/>
      </w:pPr>
    </w:p>
    <w:p>
      <w:pPr>
        <w:spacing w:after="120" w:before="80"/>
      </w:pPr>
      <w:r>
        <w:rPr>
          <w:rFonts w:ascii="Arial" w:cs="Arial" w:eastAsia="Arial" w:hAnsi="Arial"/>
          <w:color w:val="1A1A1A"/>
          <w:sz w:val="22"/>
          <w:szCs w:val="22"/>
        </w:rPr>
        <w:t xml:space="preserve">Chevalier G., Sinatra S.T., Oschman J.L., Sokal K., Sokal P. (2012). Earthing: Health Implications of Reconnecting the Human Body to the Earth's Surface Electrons. Journal of Environmental and Public Health. PMC3265077.*</w:t>
      </w:r>
    </w:p>
    <w:p>
      <w:pPr>
        <w:spacing w:after="120" w:before="80"/>
      </w:pPr>
      <w:r>
        <w:rPr>
          <w:rFonts w:ascii="Arial" w:cs="Arial" w:eastAsia="Arial" w:hAnsi="Arial"/>
          <w:color w:val="1A1A1A"/>
          <w:sz w:val="22"/>
          <w:szCs w:val="22"/>
        </w:rPr>
        <w:t xml:space="preserve">Finding: Earthing produces intriguing physiological changes including reduced pain, better sleep, shift from sympathetic to parasympathetic tone, and reduced markers of inflammation. Authors note that modern lifestyle separates humans from ground contact that was present throughout evolutionary history.</w:t>
      </w:r>
    </w:p>
    <w:p>
      <w:pPr>
        <w:spacing w:after="0" w:before="120"/>
      </w:pPr>
    </w:p>
    <w:p>
      <w:pPr>
        <w:spacing w:after="120" w:before="80"/>
      </w:pPr>
      <w:r>
        <w:rPr>
          <w:rFonts w:ascii="Arial" w:cs="Arial" w:eastAsia="Arial" w:hAnsi="Arial"/>
          <w:color w:val="1A1A1A"/>
          <w:sz w:val="22"/>
          <w:szCs w:val="22"/>
        </w:rPr>
        <w:t xml:space="preserve">Sokal K., Sokal P. (2012). Earthing the Human Organism Influences Bioelectrical Processes. Journal of Alternative and Complementary Medicine, 18(3), 229–234.</w:t>
      </w:r>
    </w:p>
    <w:p>
      <w:pPr>
        <w:spacing w:after="120" w:before="80"/>
      </w:pPr>
      <w:r>
        <w:rPr>
          <w:rFonts w:ascii="Arial" w:cs="Arial" w:eastAsia="Arial" w:hAnsi="Arial"/>
          <w:color w:val="1A1A1A"/>
          <w:sz w:val="22"/>
          <w:szCs w:val="22"/>
        </w:rPr>
        <w:t xml:space="preserve">Finding: Grounding the body aligns its bioelectric state with earth surface potential. Authors describe grounding as a universal regulating factor in Nature influencing bioelectrical, bioenergetic, and biochemical processes.</w:t>
      </w:r>
    </w:p>
    <w:p>
      <w:pPr>
        <w:pStyle w:val="Heading3"/>
        <w:spacing w:after="80" w:before="240"/>
      </w:pPr>
      <w:r>
        <w:rPr>
          <w:rFonts w:ascii="Arial" w:cs="Arial" w:eastAsia="Arial" w:hAnsi="Arial"/>
          <w:b/>
          <w:bCs/>
          <w:color w:val="4A4A4A"/>
          <w:sz w:val="22"/>
          <w:szCs w:val="22"/>
        </w:rPr>
        <w:t xml:space="preserve">Current Scientific Belief Position</w:t>
      </w:r>
    </w:p>
    <w:p>
      <w:pPr>
        <w:spacing w:after="120" w:before="80"/>
      </w:pPr>
      <w:r>
        <w:rPr>
          <w:rFonts w:ascii="Arial" w:cs="Arial" w:eastAsia="Arial" w:hAnsi="Arial"/>
          <w:color w:val="1A1A1A"/>
          <w:sz w:val="22"/>
          <w:szCs w:val="22"/>
        </w:rPr>
        <w:t xml:space="preserve">The current mainstream position on non-thermal EMF effects is that safety standards based on thermal thresholds are sufficient, and that the evidence for non-thermal biological effects is inconsistent. Pall's VGCC mechanism is peer-reviewed but has not been incorporated into regulatory frameworks. Earthing research is acknowledged in alternative and complementary medicine literature but has not entered mainstream clinical practice guidelines.</w:t>
      </w:r>
    </w:p>
    <w:p>
      <w:pPr>
        <w:spacing w:after="120" w:before="80"/>
      </w:pPr>
      <w:r>
        <w:rPr>
          <w:rFonts w:ascii="Arial" w:cs="Arial" w:eastAsia="Arial" w:hAnsi="Arial"/>
          <w:color w:val="1A1A1A"/>
          <w:sz w:val="22"/>
          <w:szCs w:val="22"/>
        </w:rPr>
        <w:t xml:space="preserve">The gap TTC-NS-001 addresses: no citizen-science-replicable protocol exists that directly measures body voltage differentials between natural terrain contact and indoor EMF-exposed conditions using standardized methodology. The earthing literature uses controlled indoor conditions. This experiment tests the effect in actual outdoor terrain.</w:t>
      </w:r>
    </w:p>
    <w:p>
      <w:pPr>
        <w:pStyle w:val="Heading3"/>
        <w:spacing w:after="80" w:before="240"/>
      </w:pPr>
      <w:r>
        <w:rPr>
          <w:rFonts w:ascii="Arial" w:cs="Arial" w:eastAsia="Arial" w:hAnsi="Arial"/>
          <w:b/>
          <w:bCs/>
          <w:color w:val="4A4A4A"/>
          <w:sz w:val="22"/>
          <w:szCs w:val="22"/>
        </w:rPr>
        <w:t xml:space="preserve">What This Inquiry Addresses</w:t>
      </w:r>
    </w:p>
    <w:p>
      <w:pPr>
        <w:spacing w:after="120" w:before="80"/>
      </w:pPr>
      <w:r>
        <w:rPr>
          <w:rFonts w:ascii="Arial" w:cs="Arial" w:eastAsia="Arial" w:hAnsi="Arial"/>
          <w:color w:val="1A1A1A"/>
          <w:sz w:val="22"/>
          <w:szCs w:val="22"/>
        </w:rPr>
        <w:t xml:space="preserve">TTC-NS-001 tests whether the voltage reduction documented in controlled earthing studies holds in natural terrain conditions, and whether a standardized citizen science protocol can produce replicable data across independent researchers in different locations and terrain types. The data generated will form the Tier 1 evidence base for a subsequent Tier 2 clinical protocol (TTC-NS-002) designed around VGCC biomarker measurement.</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4 — Hypothesis</w:t>
      </w:r>
    </w:p>
    <w:p>
      <w:pPr>
        <w:pStyle w:val="Heading3"/>
        <w:spacing w:after="80" w:before="240"/>
      </w:pPr>
      <w:r>
        <w:rPr>
          <w:rFonts w:ascii="Arial" w:cs="Arial" w:eastAsia="Arial" w:hAnsi="Arial"/>
          <w:b/>
          <w:bCs/>
          <w:color w:val="4A4A4A"/>
          <w:sz w:val="22"/>
          <w:szCs w:val="22"/>
        </w:rPr>
        <w:t xml:space="preserve">Primary Hypothesis</w:t>
      </w:r>
    </w:p>
    <w:p>
      <w:pPr>
        <w:pBdr>
          <w:left w:val="single" w:color="8B4513" w:sz="12" w:space="12"/>
        </w:pBdr>
        <w:spacing w:after="160" w:before="160"/>
        <w:ind w:left="720" w:right="720"/>
      </w:pPr>
      <w:r>
        <w:rPr>
          <w:rFonts w:ascii="Arial" w:cs="Arial" w:eastAsia="Arial" w:hAnsi="Arial"/>
          <w:i/>
          <w:iCs/>
          <w:color w:val="4A4A4A"/>
          <w:sz w:val="22"/>
          <w:szCs w:val="22"/>
        </w:rPr>
        <w:t xml:space="preserve">Direct skin contact with natural terrain (barefoot on bare soil, grass, sand, or rock) will produce a measurably lower body voltage reading than the same researcher in an isolated indoor condition with typical household EMF sources present, when measured with a calibrated body voltage meter under consistent protocol.</w:t>
      </w:r>
    </w:p>
    <w:p>
      <w:pPr>
        <w:pStyle w:val="Heading3"/>
        <w:spacing w:after="80" w:before="240"/>
      </w:pPr>
      <w:r>
        <w:rPr>
          <w:rFonts w:ascii="Arial" w:cs="Arial" w:eastAsia="Arial" w:hAnsi="Arial"/>
          <w:b/>
          <w:bCs/>
          <w:color w:val="4A4A4A"/>
          <w:sz w:val="22"/>
          <w:szCs w:val="22"/>
        </w:rPr>
        <w:t xml:space="preserve">Falsifiability Statement</w:t>
      </w:r>
    </w:p>
    <w:p>
      <w:pPr>
        <w:spacing w:after="120" w:before="80"/>
      </w:pPr>
      <w:r>
        <w:rPr>
          <w:rFonts w:ascii="Arial" w:cs="Arial" w:eastAsia="Arial" w:hAnsi="Arial"/>
          <w:color w:val="1A1A1A"/>
          <w:sz w:val="22"/>
          <w:szCs w:val="22"/>
        </w:rPr>
        <w:t xml:space="preserve">This hypothesis is false if: body voltage readings in the terrain condition show no consistent directional difference from the indoor isolated condition across three or more repeated sessions by the same researcher. A result within measurement noise (less than 10% differential) consistently, across sessions, falsifies the hypothesis.</w:t>
      </w:r>
    </w:p>
    <w:p>
      <w:pPr>
        <w:pStyle w:val="Heading3"/>
        <w:spacing w:after="80" w:before="240"/>
      </w:pPr>
      <w:r>
        <w:rPr>
          <w:rFonts w:ascii="Arial" w:cs="Arial" w:eastAsia="Arial" w:hAnsi="Arial"/>
          <w:b/>
          <w:bCs/>
          <w:color w:val="4A4A4A"/>
          <w:sz w:val="22"/>
          <w:szCs w:val="22"/>
        </w:rPr>
        <w:t xml:space="preserve">For Debunking Researchers</w:t>
      </w:r>
    </w:p>
    <w:p>
      <w:pPr>
        <w:spacing w:after="120" w:before="80"/>
      </w:pPr>
      <w:r>
        <w:rPr>
          <w:rFonts w:ascii="Arial" w:cs="Arial" w:eastAsia="Arial" w:hAnsi="Arial"/>
          <w:color w:val="1A1A1A"/>
          <w:sz w:val="22"/>
          <w:szCs w:val="22"/>
        </w:rPr>
        <w:t xml:space="preserve">Per ASM v1.2 Step 4: if you are running this experiment to show the claim is false, your hypothesis must also specify what evidence would show the claim is correct. Specifically: what magnitude of consistent voltage differential across what number of sessions, measured by what standard, would cause you to conclude the terrain contact effect is real? Write that threshold in your notebook before the experiment begins and hold yourself to it.</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5 — Predictions Before the Experiment Runs</w:t>
      </w:r>
    </w:p>
    <w:p>
      <w:pPr>
        <w:spacing w:after="120" w:before="80"/>
      </w:pPr>
      <w:r>
        <w:rPr>
          <w:rFonts w:ascii="Arial" w:cs="Arial" w:eastAsia="Arial" w:hAnsi="Arial"/>
          <w:color w:val="1A1A1A"/>
          <w:sz w:val="22"/>
          <w:szCs w:val="22"/>
        </w:rPr>
        <w:t xml:space="preserve">Write both predictions in your bound notebook and timestamp them before any measurement begins. The Neutral Witness co-signs immediately.</w:t>
      </w:r>
    </w:p>
    <w:p>
      <w:pPr>
        <w:pStyle w:val="Heading3"/>
        <w:spacing w:after="80" w:before="240"/>
      </w:pPr>
      <w:r>
        <w:rPr>
          <w:rFonts w:ascii="Arial" w:cs="Arial" w:eastAsia="Arial" w:hAnsi="Arial"/>
          <w:b/>
          <w:bCs/>
          <w:color w:val="4A4A4A"/>
          <w:sz w:val="22"/>
          <w:szCs w:val="22"/>
        </w:rPr>
        <w:t xml:space="preserve">Prediction A — By Scientific Belief</w:t>
      </w:r>
    </w:p>
    <w:p>
      <w:pPr>
        <w:spacing w:after="120" w:before="80"/>
      </w:pPr>
      <w:r>
        <w:rPr>
          <w:rFonts w:ascii="Arial" w:cs="Arial" w:eastAsia="Arial" w:hAnsi="Arial"/>
          <w:color w:val="1A1A1A"/>
          <w:sz w:val="22"/>
          <w:szCs w:val="22"/>
        </w:rPr>
        <w:t xml:space="preserve">The current mainstream position predicts: no significant non-thermal biological effect from typical household EMF exposure. Therefore, no consistent, meaningful difference in body voltage between conditions should be expected beyond measurement noise and postural variation.</w:t>
      </w:r>
    </w:p>
    <w:p>
      <w:pPr>
        <w:pStyle w:val="Heading3"/>
        <w:spacing w:after="80" w:before="240"/>
      </w:pPr>
      <w:r>
        <w:rPr>
          <w:rFonts w:ascii="Arial" w:cs="Arial" w:eastAsia="Arial" w:hAnsi="Arial"/>
          <w:b/>
          <w:bCs/>
          <w:color w:val="4A4A4A"/>
          <w:sz w:val="22"/>
          <w:szCs w:val="22"/>
        </w:rPr>
        <w:t xml:space="preserve">Prediction B — By Your Hypothesis</w:t>
      </w:r>
    </w:p>
    <w:p>
      <w:pPr>
        <w:spacing w:after="120" w:before="80"/>
      </w:pPr>
      <w:r>
        <w:rPr>
          <w:rFonts w:ascii="Arial" w:cs="Arial" w:eastAsia="Arial" w:hAnsi="Arial"/>
          <w:color w:val="1A1A1A"/>
          <w:sz w:val="22"/>
          <w:szCs w:val="22"/>
        </w:rPr>
        <w:t xml:space="preserve">Write your own specific prediction here before the experiment runs: what voltage differential do you expect to observe between the terrain and indoor conditions? In which direction? How consistent across sessions? Write the number. Hold it to the data.</w:t>
      </w:r>
    </w:p>
    <w:p>
      <w:pPr>
        <w:spacing w:after="120" w:before="80"/>
      </w:pPr>
      <w:r>
        <w:rPr>
          <w:rFonts w:ascii="Arial" w:cs="Arial" w:eastAsia="Arial" w:hAnsi="Arial"/>
          <w:color w:val="1A1A1A"/>
          <w:sz w:val="22"/>
          <w:szCs w:val="22"/>
        </w:rPr>
        <w:t xml:space="preserve">Keep Prediction A and Prediction B visually separate on the page. After the experiment, compare both against actual results and document every divergence — including divergences from your own prediction.</w:t>
      </w:r>
    </w:p>
    <w:p>
      <w:pPr>
        <w:pBdr>
          <w:left w:val="single" w:color="8B4513" w:sz="16"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Both predictions recorded and timestamped in researcher's bound notebook. Neutral Witness co-signs immediately. This timestamp is the integrity anchor of the entire experiment.</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6 — The Experiment Protocol</w:t>
      </w:r>
    </w:p>
    <w:p>
      <w:pPr>
        <w:spacing w:after="120" w:before="80"/>
      </w:pPr>
      <w:r>
        <w:rPr>
          <w:rFonts w:ascii="Arial" w:cs="Arial" w:eastAsia="Arial" w:hAnsi="Arial"/>
          <w:color w:val="1A1A1A"/>
          <w:sz w:val="22"/>
          <w:szCs w:val="22"/>
        </w:rPr>
        <w:t xml:space="preserve">Follow every step exactly as written. Any deviation must be documented in real time — its reason and its potential effect on results — before continuing. No improvisation during the experiment.</w:t>
      </w:r>
    </w:p>
    <w:p>
      <w:pPr>
        <w:pStyle w:val="Heading3"/>
        <w:spacing w:after="80" w:before="240"/>
      </w:pPr>
      <w:r>
        <w:rPr>
          <w:rFonts w:ascii="Arial" w:cs="Arial" w:eastAsia="Arial" w:hAnsi="Arial"/>
          <w:b/>
          <w:bCs/>
          <w:color w:val="4A4A4A"/>
          <w:sz w:val="22"/>
          <w:szCs w:val="22"/>
        </w:rPr>
        <w:t xml:space="preserve">Equipment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160"/>
        <w:gridCol w:w="3200"/>
      </w:tblGrid>
      <w:tr>
        <w:tc>
          <w:tcPr>
            <w:tcW w:type="dxa" w:w="20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Tool</w:t>
            </w:r>
          </w:p>
        </w:tc>
        <w:tc>
          <w:tcPr>
            <w:tcW w:type="dxa" w:w="41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2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Approx. Cost</w:t>
            </w:r>
          </w:p>
        </w:tc>
      </w:tr>
      <w:tr>
        <w:tc>
          <w:tcPr>
            <w:tcW w:type="dxa" w:w="2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Body Voltage Meter</w:t>
            </w:r>
          </w:p>
        </w:tc>
        <w:tc>
          <w:tcPr>
            <w:tcW w:type="dxa" w:w="41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Primary measurement instrument — records AC body voltage in millivolts</w:t>
            </w:r>
          </w:p>
        </w:tc>
        <w:tc>
          <w:tcPr>
            <w:tcW w:type="dxa" w:w="32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$30–80</w:t>
            </w:r>
          </w:p>
        </w:tc>
      </w:tr>
      <w:tr>
        <w:tc>
          <w:tcPr>
            <w:tcW w:type="dxa" w:w="2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Ground rod + wire OR earth patch</w:t>
            </w:r>
          </w:p>
        </w:tc>
        <w:tc>
          <w:tcPr>
            <w:tcW w:type="dxa" w:w="41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Establishes grounded condition. Ground rod driven 12" into bare soil preferred. Grounding mat acceptable as secondary option.</w:t>
            </w:r>
          </w:p>
        </w:tc>
        <w:tc>
          <w:tcPr>
            <w:tcW w:type="dxa" w:w="32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$15–40</w:t>
            </w:r>
          </w:p>
        </w:tc>
      </w:tr>
      <w:tr>
        <w:tc>
          <w:tcPr>
            <w:tcW w:type="dxa" w:w="2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Digital watch or phone</w:t>
            </w:r>
          </w:p>
        </w:tc>
        <w:tc>
          <w:tcPr>
            <w:tcW w:type="dxa" w:w="41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Session timing. Neutral Witness verifies timestamp display in frame.</w:t>
            </w:r>
          </w:p>
        </w:tc>
        <w:tc>
          <w:tcPr>
            <w:tcW w:type="dxa" w:w="32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On hand</w:t>
            </w:r>
          </w:p>
        </w:tc>
      </w:tr>
      <w:tr>
        <w:tc>
          <w:tcPr>
            <w:tcW w:type="dxa" w:w="2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Notebook (bound, not loose)</w:t>
            </w:r>
          </w:p>
        </w:tc>
        <w:tc>
          <w:tcPr>
            <w:tcW w:type="dxa" w:w="41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Real-time data recording by Recorder. Bound pages protect integrity of sequence.</w:t>
            </w:r>
          </w:p>
        </w:tc>
        <w:tc>
          <w:tcPr>
            <w:tcW w:type="dxa" w:w="32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$5–10</w:t>
            </w:r>
          </w:p>
        </w:tc>
      </w:tr>
      <w:tr>
        <w:tc>
          <w:tcPr>
            <w:tcW w:type="dxa" w:w="2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Camera or phone</w:t>
            </w:r>
          </w:p>
        </w:tc>
        <w:tc>
          <w:tcPr>
            <w:tcW w:type="dxa" w:w="41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Photo documentation of setup, readings, terrain, and timestamp displays for public record.</w:t>
            </w:r>
          </w:p>
        </w:tc>
        <w:tc>
          <w:tcPr>
            <w:tcW w:type="dxa" w:w="32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On hand</w:t>
            </w:r>
          </w:p>
        </w:tc>
      </w:tr>
      <w:tr>
        <w:tc>
          <w:tcPr>
            <w:tcW w:type="dxa" w:w="20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Thermometer (optional)</w:t>
            </w:r>
          </w:p>
        </w:tc>
        <w:tc>
          <w:tcPr>
            <w:tcW w:type="dxa" w:w="41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Documents ambient temperature — relevant to skin conductance variability.</w:t>
            </w:r>
          </w:p>
        </w:tc>
        <w:tc>
          <w:tcPr>
            <w:tcW w:type="dxa" w:w="320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$10–20</w:t>
            </w:r>
          </w:p>
        </w:tc>
      </w:tr>
      <w:tr>
        <w:tc>
          <w:tcPr>
            <w:tcW w:type="dxa" w:w="20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Wrist or chest HR monitor (optional)</w:t>
            </w:r>
          </w:p>
        </w:tc>
        <w:tc>
          <w:tcPr>
            <w:tcW w:type="dxa" w:w="416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Resting heart rate as secondary physiological marker.</w:t>
            </w:r>
          </w:p>
        </w:tc>
        <w:tc>
          <w:tcPr>
            <w:tcW w:type="dxa" w:w="32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color w:val="1A1A1A"/>
                <w:sz w:val="20"/>
                <w:szCs w:val="20"/>
              </w:rPr>
              <w:t xml:space="preserve">$20–80</w:t>
            </w:r>
          </w:p>
        </w:tc>
      </w:tr>
    </w:tbl>
    <w:p>
      <w:pPr>
        <w:spacing w:after="0" w:before="240"/>
      </w:pPr>
    </w:p>
    <w:p>
      <w:pPr>
        <w:pStyle w:val="Heading3"/>
        <w:spacing w:after="80" w:before="240"/>
      </w:pPr>
      <w:r>
        <w:rPr>
          <w:rFonts w:ascii="Arial" w:cs="Arial" w:eastAsia="Arial" w:hAnsi="Arial"/>
          <w:b/>
          <w:bCs/>
          <w:color w:val="4A4A4A"/>
          <w:sz w:val="22"/>
          <w:szCs w:val="22"/>
        </w:rPr>
        <w:t xml:space="preserve">Roles — Define Before the Experiment Begins</w:t>
      </w:r>
    </w:p>
    <w:p>
      <w:pPr>
        <w:pStyle w:val="ListParagraph"/>
        <w:numPr>
          <w:ilvl w:val="0"/>
          <w:numId w:val="2"/>
        </w:numPr>
        <w:spacing w:after="60" w:before="60"/>
      </w:pPr>
      <w:r>
        <w:rPr>
          <w:rFonts w:ascii="Arial" w:cs="Arial" w:eastAsia="Arial" w:hAnsi="Arial"/>
          <w:color w:val="1A1A1A"/>
          <w:sz w:val="22"/>
          <w:szCs w:val="22"/>
        </w:rPr>
        <w:t xml:space="preserve">Researcher: the person whose body voltage is being measured. Remains stationary and relaxed during each reading.</w:t>
      </w:r>
    </w:p>
    <w:p>
      <w:pPr>
        <w:pStyle w:val="ListParagraph"/>
        <w:numPr>
          <w:ilvl w:val="0"/>
          <w:numId w:val="2"/>
        </w:numPr>
        <w:spacing w:after="60" w:before="60"/>
      </w:pPr>
      <w:r>
        <w:rPr>
          <w:rFonts w:ascii="Arial" w:cs="Arial" w:eastAsia="Arial" w:hAnsi="Arial"/>
          <w:color w:val="1A1A1A"/>
          <w:sz w:val="22"/>
          <w:szCs w:val="22"/>
        </w:rPr>
        <w:t xml:space="preserve">Neutral Witness: observes all steps, verifies all readings, co-signs all timestamps. Does not advise on technique during the experiment.</w:t>
      </w:r>
    </w:p>
    <w:p>
      <w:pPr>
        <w:pStyle w:val="ListParagraph"/>
        <w:numPr>
          <w:ilvl w:val="0"/>
          <w:numId w:val="2"/>
        </w:numPr>
        <w:spacing w:after="60" w:before="60"/>
      </w:pPr>
      <w:r>
        <w:rPr>
          <w:rFonts w:ascii="Arial" w:cs="Arial" w:eastAsia="Arial" w:hAnsi="Arial"/>
          <w:color w:val="1A1A1A"/>
          <w:sz w:val="22"/>
          <w:szCs w:val="22"/>
        </w:rPr>
        <w:t xml:space="preserve">Recorder: documents all observations, readings, deviations, and times in real time in the bound notebook. May be the same person as the Neutral Witness if no third party is available — document this if so.</w:t>
      </w:r>
    </w:p>
    <w:p>
      <w:pPr>
        <w:pStyle w:val="Heading3"/>
        <w:spacing w:after="80" w:before="240"/>
      </w:pPr>
      <w:r>
        <w:rPr>
          <w:rFonts w:ascii="Arial" w:cs="Arial" w:eastAsia="Arial" w:hAnsi="Arial"/>
          <w:b/>
          <w:bCs/>
          <w:color w:val="4A4A4A"/>
          <w:sz w:val="22"/>
          <w:szCs w:val="22"/>
        </w:rPr>
        <w:t xml:space="preserve">Site Selection — Two Required Sites</w:t>
      </w:r>
    </w:p>
    <w:p>
      <w:pPr>
        <w:spacing w:after="120" w:before="80"/>
      </w:pPr>
      <w:r>
        <w:rPr>
          <w:rFonts w:ascii="Arial" w:cs="Arial" w:eastAsia="Arial" w:hAnsi="Arial"/>
          <w:color w:val="1A1A1A"/>
          <w:sz w:val="22"/>
          <w:szCs w:val="22"/>
        </w:rPr>
        <w:t xml:space="preserve">This experiment requires two distinct sites measured in the same session where possible, or in paired sessions within 48 hours:</w:t>
      </w:r>
    </w:p>
    <w:p>
      <w:pPr>
        <w:pStyle w:val="ListParagraph"/>
        <w:numPr>
          <w:ilvl w:val="0"/>
          <w:numId w:val="2"/>
        </w:numPr>
        <w:spacing w:after="60" w:before="60"/>
      </w:pPr>
      <w:r>
        <w:rPr>
          <w:rFonts w:ascii="Arial" w:cs="Arial" w:eastAsia="Arial" w:hAnsi="Arial"/>
          <w:color w:val="1A1A1A"/>
          <w:sz w:val="22"/>
          <w:szCs w:val="22"/>
        </w:rPr>
        <w:t xml:space="preserve">Site A — Natural Terrain: outdoor location with bare soil, grass, sand, or exposed rock. No artificial flooring. No rubber-soled shoes during measurement. Researcher stands or sits with bare feet or bare skin in direct contact with the ground surface.</w:t>
      </w:r>
    </w:p>
    <w:p>
      <w:pPr>
        <w:pStyle w:val="ListParagraph"/>
        <w:numPr>
          <w:ilvl w:val="0"/>
          <w:numId w:val="2"/>
        </w:numPr>
        <w:spacing w:after="60" w:before="60"/>
      </w:pPr>
      <w:r>
        <w:rPr>
          <w:rFonts w:ascii="Arial" w:cs="Arial" w:eastAsia="Arial" w:hAnsi="Arial"/>
          <w:color w:val="1A1A1A"/>
          <w:sz w:val="22"/>
          <w:szCs w:val="22"/>
        </w:rPr>
        <w:t xml:space="preserve">Site B — Indoor Isolation: indoor location with standard household EMF sources present and active (lights on, WiFi active, typical appliances running). Researcher stands or sits on a non-conductive surface (carpet, wood floor, tile) wearing standard shoes or socks. No grounding contact.</w:t>
      </w:r>
    </w:p>
    <w:p>
      <w:pPr>
        <w:spacing w:after="120" w:before="80"/>
      </w:pPr>
      <w:r>
        <w:rPr>
          <w:rFonts w:ascii="Arial" w:cs="Arial" w:eastAsia="Arial" w:hAnsi="Arial"/>
          <w:color w:val="1A1A1A"/>
          <w:sz w:val="22"/>
          <w:szCs w:val="22"/>
        </w:rPr>
        <w:t xml:space="preserve">Sites should be within reasonable proximity to allow same-day measurement under similar weather and physical conditions.</w:t>
      </w:r>
    </w:p>
    <w:p>
      <w:pPr>
        <w:pStyle w:val="Heading3"/>
        <w:spacing w:after="80" w:before="240"/>
      </w:pPr>
      <w:r>
        <w:rPr>
          <w:rFonts w:ascii="Arial" w:cs="Arial" w:eastAsia="Arial" w:hAnsi="Arial"/>
          <w:b/>
          <w:bCs/>
          <w:color w:val="4A4A4A"/>
          <w:sz w:val="22"/>
          <w:szCs w:val="22"/>
        </w:rPr>
        <w:t xml:space="preserve">Session Protocol — Step by Step</w:t>
      </w:r>
    </w:p>
    <w:p>
      <w:pPr>
        <w:spacing w:after="120" w:before="80"/>
      </w:pPr>
      <w:r>
        <w:rPr>
          <w:rFonts w:ascii="Arial" w:cs="Arial" w:eastAsia="Arial" w:hAnsi="Arial"/>
          <w:color w:val="1A1A1A"/>
          <w:sz w:val="22"/>
          <w:szCs w:val="22"/>
        </w:rPr>
        <w:t xml:space="preserve">Complete the following sequence at each site. The Recorder documents every step in real time.</w:t>
      </w:r>
    </w:p>
    <w:p>
      <w:pPr>
        <w:pStyle w:val="ListParagraph"/>
        <w:numPr>
          <w:ilvl w:val="0"/>
          <w:numId w:val="3"/>
        </w:numPr>
        <w:spacing w:after="60" w:before="60"/>
      </w:pPr>
      <w:r>
        <w:rPr>
          <w:rFonts w:ascii="Arial" w:cs="Arial" w:eastAsia="Arial" w:hAnsi="Arial"/>
          <w:color w:val="1A1A1A"/>
          <w:sz w:val="22"/>
          <w:szCs w:val="22"/>
        </w:rPr>
        <w:t xml:space="preserve">Arrive at site. Do not begin measurement for 5 minutes. Rest quietly. This is the acclimatization period. Document start time.</w:t>
      </w:r>
    </w:p>
    <w:p>
      <w:pPr>
        <w:pStyle w:val="ListParagraph"/>
        <w:numPr>
          <w:ilvl w:val="0"/>
          <w:numId w:val="3"/>
        </w:numPr>
        <w:spacing w:after="60" w:before="60"/>
      </w:pPr>
      <w:r>
        <w:rPr>
          <w:rFonts w:ascii="Arial" w:cs="Arial" w:eastAsia="Arial" w:hAnsi="Arial"/>
          <w:color w:val="1A1A1A"/>
          <w:sz w:val="22"/>
          <w:szCs w:val="22"/>
        </w:rPr>
        <w:t xml:space="preserve">Recorder documents all experiment metadata: GPS coordinates or address, date, time, temperature, humidity if measurable, cloud cover, terrain description, all persons present, all tools present with make and model.</w:t>
      </w:r>
    </w:p>
    <w:p>
      <w:pPr>
        <w:pStyle w:val="ListParagraph"/>
        <w:numPr>
          <w:ilvl w:val="0"/>
          <w:numId w:val="3"/>
        </w:numPr>
        <w:spacing w:after="60" w:before="60"/>
      </w:pPr>
      <w:r>
        <w:rPr>
          <w:rFonts w:ascii="Arial" w:cs="Arial" w:eastAsia="Arial" w:hAnsi="Arial"/>
          <w:color w:val="1A1A1A"/>
          <w:sz w:val="22"/>
          <w:szCs w:val="22"/>
        </w:rPr>
        <w:t xml:space="preserve">Researcher assumes measurement position: seated or standing, stationary, relaxed. Terrain contact condition as specified for this site (bare skin on ground for Site A; isolated on floor for Site B).</w:t>
      </w:r>
    </w:p>
    <w:p>
      <w:pPr>
        <w:pStyle w:val="ListParagraph"/>
        <w:numPr>
          <w:ilvl w:val="0"/>
          <w:numId w:val="3"/>
        </w:numPr>
        <w:spacing w:after="60" w:before="60"/>
      </w:pPr>
      <w:r>
        <w:rPr>
          <w:rFonts w:ascii="Arial" w:cs="Arial" w:eastAsia="Arial" w:hAnsi="Arial"/>
          <w:color w:val="1A1A1A"/>
          <w:sz w:val="22"/>
          <w:szCs w:val="22"/>
        </w:rPr>
        <w:t xml:space="preserve">Connect body voltage meter per manufacturer instructions. One lead is held by or attached to the researcher. The other lead connects to the reference ground (for Site A: ground rod driven into bare soil minimum 12 inches, or direct earth connection; for Site B: the floating meter ground — do NOT connect to household electrical ground at Site B).</w:t>
      </w:r>
    </w:p>
    <w:p>
      <w:pPr>
        <w:pStyle w:val="ListParagraph"/>
        <w:numPr>
          <w:ilvl w:val="0"/>
          <w:numId w:val="3"/>
        </w:numPr>
        <w:spacing w:after="60" w:before="60"/>
      </w:pPr>
      <w:r>
        <w:rPr>
          <w:rFonts w:ascii="Arial" w:cs="Arial" w:eastAsia="Arial" w:hAnsi="Arial"/>
          <w:color w:val="1A1A1A"/>
          <w:sz w:val="22"/>
          <w:szCs w:val="22"/>
        </w:rPr>
        <w:t xml:space="preserve">Allow meter to stabilize for 60 seconds after connection. Record the stabilized reading. Photograph the meter display with the researcher and site visible in frame.</w:t>
      </w:r>
    </w:p>
    <w:p>
      <w:pPr>
        <w:pStyle w:val="ListParagraph"/>
        <w:numPr>
          <w:ilvl w:val="0"/>
          <w:numId w:val="3"/>
        </w:numPr>
        <w:spacing w:after="60" w:before="60"/>
      </w:pPr>
      <w:r>
        <w:rPr>
          <w:rFonts w:ascii="Arial" w:cs="Arial" w:eastAsia="Arial" w:hAnsi="Arial"/>
          <w:color w:val="1A1A1A"/>
          <w:sz w:val="22"/>
          <w:szCs w:val="22"/>
        </w:rPr>
        <w:t xml:space="preserve">Take three readings at 60-second intervals without moving. Record all three. Calculate average.</w:t>
      </w:r>
    </w:p>
    <w:p>
      <w:pPr>
        <w:pStyle w:val="ListParagraph"/>
        <w:numPr>
          <w:ilvl w:val="0"/>
          <w:numId w:val="3"/>
        </w:numPr>
        <w:spacing w:after="60" w:before="60"/>
      </w:pPr>
      <w:r>
        <w:rPr>
          <w:rFonts w:ascii="Arial" w:cs="Arial" w:eastAsia="Arial" w:hAnsi="Arial"/>
          <w:color w:val="1A1A1A"/>
          <w:sz w:val="22"/>
          <w:szCs w:val="22"/>
        </w:rPr>
        <w:t xml:space="preserve">Recorder reads back all three readings and the average to the Neutral Witness. Neutral Witness confirms values match the meter and the Recorder's notes.</w:t>
      </w:r>
    </w:p>
    <w:p>
      <w:pPr>
        <w:pStyle w:val="ListParagraph"/>
        <w:numPr>
          <w:ilvl w:val="0"/>
          <w:numId w:val="3"/>
        </w:numPr>
        <w:spacing w:after="60" w:before="60"/>
      </w:pPr>
      <w:r>
        <w:rPr>
          <w:rFonts w:ascii="Arial" w:cs="Arial" w:eastAsia="Arial" w:hAnsi="Arial"/>
          <w:color w:val="1A1A1A"/>
          <w:sz w:val="22"/>
          <w:szCs w:val="22"/>
        </w:rPr>
        <w:t xml:space="preserve">Neutral Witness co-signs the data page in the bound notebook immediately.</w:t>
      </w:r>
    </w:p>
    <w:p>
      <w:pPr>
        <w:pStyle w:val="ListParagraph"/>
        <w:numPr>
          <w:ilvl w:val="0"/>
          <w:numId w:val="3"/>
        </w:numPr>
        <w:spacing w:after="60" w:before="60"/>
      </w:pPr>
      <w:r>
        <w:rPr>
          <w:rFonts w:ascii="Arial" w:cs="Arial" w:eastAsia="Arial" w:hAnsi="Arial"/>
          <w:color w:val="1A1A1A"/>
          <w:sz w:val="22"/>
          <w:szCs w:val="22"/>
        </w:rPr>
        <w:t xml:space="preserve">If optional HR monitor is in use: record resting HR at the start and end of each 5-minute site session.</w:t>
      </w:r>
    </w:p>
    <w:p>
      <w:pPr>
        <w:pStyle w:val="ListParagraph"/>
        <w:numPr>
          <w:ilvl w:val="0"/>
          <w:numId w:val="3"/>
        </w:numPr>
        <w:spacing w:after="60" w:before="60"/>
      </w:pPr>
      <w:r>
        <w:rPr>
          <w:rFonts w:ascii="Arial" w:cs="Arial" w:eastAsia="Arial" w:hAnsi="Arial"/>
          <w:color w:val="1A1A1A"/>
          <w:sz w:val="22"/>
          <w:szCs w:val="22"/>
        </w:rPr>
        <w:t xml:space="preserve">Photograph the bound notebook data page with the site visible in the background.</w:t>
      </w:r>
    </w:p>
    <w:p>
      <w:pPr>
        <w:pStyle w:val="ListParagraph"/>
        <w:numPr>
          <w:ilvl w:val="0"/>
          <w:numId w:val="3"/>
        </w:numPr>
        <w:spacing w:after="60" w:before="60"/>
      </w:pPr>
      <w:r>
        <w:rPr>
          <w:rFonts w:ascii="Arial" w:cs="Arial" w:eastAsia="Arial" w:hAnsi="Arial"/>
          <w:color w:val="1A1A1A"/>
          <w:sz w:val="22"/>
          <w:szCs w:val="22"/>
        </w:rPr>
        <w:t xml:space="preserve">Document any deviations from this protocol in real time before moving to the next site.</w:t>
      </w:r>
    </w:p>
    <w:p>
      <w:pPr>
        <w:spacing w:after="120" w:before="80"/>
      </w:pPr>
      <w:r>
        <w:rPr>
          <w:rFonts w:ascii="Arial" w:cs="Arial" w:eastAsia="Arial" w:hAnsi="Arial"/>
          <w:color w:val="1A1A1A"/>
          <w:sz w:val="22"/>
          <w:szCs w:val="22"/>
        </w:rPr>
        <w:t xml:space="preserve">Repeat the full sequence at the second site. Aim to complete both sites within the same 2-hour window where possible. Document any gap between sites and its reason.</w:t>
      </w:r>
    </w:p>
    <w:p>
      <w:pPr>
        <w:pStyle w:val="Heading3"/>
        <w:spacing w:after="80" w:before="240"/>
      </w:pPr>
      <w:r>
        <w:rPr>
          <w:rFonts w:ascii="Arial" w:cs="Arial" w:eastAsia="Arial" w:hAnsi="Arial"/>
          <w:b/>
          <w:bCs/>
          <w:color w:val="4A4A4A"/>
          <w:sz w:val="22"/>
          <w:szCs w:val="22"/>
        </w:rPr>
        <w:t xml:space="preserve">Minimum Replication Standard</w:t>
      </w:r>
    </w:p>
    <w:p>
      <w:pPr>
        <w:spacing w:after="120" w:before="80"/>
      </w:pPr>
      <w:r>
        <w:rPr>
          <w:rFonts w:ascii="Arial" w:cs="Arial" w:eastAsia="Arial" w:hAnsi="Arial"/>
          <w:color w:val="1A1A1A"/>
          <w:sz w:val="22"/>
          <w:szCs w:val="22"/>
        </w:rPr>
        <w:t xml:space="preserve">A single session does not constitute a finding. To meet the minimum standard for a public record under TTC-NS-001, the researcher must complete at least 3 paired sessions (Site A and Site B in each session) across at least 3 different days. This produces a minimum of 18 body voltage readings per researcher — sufficient to assess directional consistency and rule out single-session anomaly.</w:t>
      </w:r>
    </w:p>
    <w:p>
      <w:pPr>
        <w:pBdr>
          <w:left w:val="single" w:color="8B4513" w:sz="16"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co-signs the Recorder's notes at the conclusion of each session. Timestamp recorded for initiation and conclusion of each session.</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7 — Analyze Data, Categorize Conclusions, Draw Findings</w:t>
      </w:r>
    </w:p>
    <w:p>
      <w:pPr>
        <w:pStyle w:val="Heading3"/>
        <w:spacing w:after="80" w:before="240"/>
      </w:pPr>
      <w:r>
        <w:rPr>
          <w:rFonts w:ascii="Arial" w:cs="Arial" w:eastAsia="Arial" w:hAnsi="Arial"/>
          <w:b/>
          <w:bCs/>
          <w:color w:val="4A4A4A"/>
          <w:sz w:val="22"/>
          <w:szCs w:val="22"/>
        </w:rPr>
        <w:t xml:space="preserve">How to Analyze Your Data</w:t>
      </w:r>
    </w:p>
    <w:p>
      <w:pPr>
        <w:spacing w:after="120" w:before="80"/>
      </w:pPr>
      <w:r>
        <w:rPr>
          <w:rFonts w:ascii="Arial" w:cs="Arial" w:eastAsia="Arial" w:hAnsi="Arial"/>
          <w:color w:val="1A1A1A"/>
          <w:sz w:val="22"/>
          <w:szCs w:val="22"/>
        </w:rPr>
        <w:t xml:space="preserve">For each paired session, calculate: (a) the average body voltage at Site A, (b) the average body voltage at Site B, and (c) the percentage difference between them [(B minus A) divided by B, expressed as a percentage].</w:t>
      </w:r>
    </w:p>
    <w:p>
      <w:pPr>
        <w:spacing w:after="120" w:before="80"/>
      </w:pPr>
      <w:r>
        <w:rPr>
          <w:rFonts w:ascii="Arial" w:cs="Arial" w:eastAsia="Arial" w:hAnsi="Arial"/>
          <w:color w:val="1A1A1A"/>
          <w:sz w:val="22"/>
          <w:szCs w:val="22"/>
        </w:rPr>
        <w:t xml:space="preserve">Across all sessions, assess: (a) is the directional difference consistent — does Site A (terrain) consistently show lower voltage than Site B (indoor)? (b) What is the average percentage differential? (c) Is the magnitude consistent or highly variable across sessions?</w:t>
      </w:r>
    </w:p>
    <w:p>
      <w:pPr>
        <w:spacing w:after="120" w:before="80"/>
      </w:pPr>
      <w:r>
        <w:rPr>
          <w:rFonts w:ascii="Arial" w:cs="Arial" w:eastAsia="Arial" w:hAnsi="Arial"/>
          <w:color w:val="1A1A1A"/>
          <w:sz w:val="22"/>
          <w:szCs w:val="22"/>
        </w:rPr>
        <w:t xml:space="preserve">Compare your results against both predictions from Step 5. Document every divergence from both predictions honestly — including divergences from your own hypothesis.</w:t>
      </w:r>
    </w:p>
    <w:p>
      <w:pPr>
        <w:pStyle w:val="Heading3"/>
        <w:spacing w:after="80" w:before="240"/>
      </w:pPr>
      <w:r>
        <w:rPr>
          <w:rFonts w:ascii="Arial" w:cs="Arial" w:eastAsia="Arial" w:hAnsi="Arial"/>
          <w:b/>
          <w:bCs/>
          <w:color w:val="4A4A4A"/>
          <w:sz w:val="22"/>
          <w:szCs w:val="22"/>
        </w:rPr>
        <w:t xml:space="preserve">Finding Categories — Apply Before Writing Conclusions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6960"/>
            <w:tcBorders>
              <w:top w:val="single" w:color="C8A96E" w:sz="1"/>
              <w:left w:val="single" w:color="C8A96E" w:sz="1"/>
              <w:bottom w:val="single" w:color="C8A96E" w:sz="1"/>
              <w:right w:val="single" w:color="C8A96E" w:sz="1"/>
            </w:tcBorders>
            <w:shd w:fill="8B4513" w:val="clear"/>
            <w:tcMar>
              <w:top w:type="dxa" w:w="80"/>
              <w:left w:type="dxa" w:w="120"/>
              <w:bottom w:type="dxa" w:w="80"/>
              <w:right w:type="dxa" w:w="120"/>
            </w:tcMar>
          </w:tcPr>
          <w:p>
            <w:r>
              <w:rPr>
                <w:rFonts w:ascii="Arial" w:cs="Arial" w:eastAsia="Arial" w:hAnsi="Arial"/>
                <w:b/>
                <w:bCs/>
                <w:color w:val="FFFFFF"/>
                <w:sz w:val="20"/>
                <w:szCs w:val="20"/>
              </w:rPr>
              <w:t xml:space="preserve">What This Experiment Can and Cannot Show</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8B4513"/>
                <w:sz w:val="20"/>
                <w:szCs w:val="20"/>
              </w:rPr>
              <w:t xml:space="preserve">Category 1 — Directly Shown</w:t>
            </w:r>
          </w:p>
        </w:tc>
        <w:tc>
          <w:tcPr>
            <w:tcW w:type="dxa" w:w="6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Whether body voltage (mV) measurably differs between grounded-in-terrain and isolated-indoors conditions in this researcher, on this date, in this location. Whether the directional change (if any) is consistent across repeated sessions.</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4A4A4A"/>
                <w:sz w:val="20"/>
                <w:szCs w:val="20"/>
              </w:rPr>
              <w:t xml:space="preserve">Category 2 — Inferred</w:t>
            </w:r>
          </w:p>
        </w:tc>
        <w:tc>
          <w:tcPr>
            <w:tcW w:type="dxa" w:w="6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Whether the voltage differential reflects the broader UTT claim that terrain functions as a bioelectrical calibration environment. Whether reduced body voltage correlates with reduced VGCC activation (Pall mechanism). These inferences require Tier 2 clinical follow-up to elevate to Category 1.</w:t>
            </w:r>
          </w:p>
        </w:tc>
      </w:tr>
      <w:tr>
        <w:tc>
          <w:tcPr>
            <w:tcW w:type="dxa" w:w="2400"/>
            <w:tcBorders>
              <w:top w:val="single" w:color="C8A96E" w:sz="1"/>
              <w:left w:val="single" w:color="C8A96E" w:sz="1"/>
              <w:bottom w:val="single" w:color="C8A96E" w:sz="1"/>
              <w:right w:val="single" w:color="C8A96E" w:sz="1"/>
            </w:tcBorders>
            <w:shd w:fill="F5ECD7" w:val="clear"/>
            <w:tcMar>
              <w:top w:type="dxa" w:w="80"/>
              <w:left w:type="dxa" w:w="120"/>
              <w:bottom w:type="dxa" w:w="80"/>
              <w:right w:type="dxa" w:w="120"/>
            </w:tcMar>
          </w:tcPr>
          <w:p>
            <w:r>
              <w:rPr>
                <w:rFonts w:ascii="Arial" w:cs="Arial" w:eastAsia="Arial" w:hAnsi="Arial"/>
                <w:b/>
                <w:bCs/>
                <w:color w:val="4A4A4A"/>
                <w:sz w:val="20"/>
                <w:szCs w:val="20"/>
              </w:rPr>
              <w:t xml:space="preserve">Category 3 — Open Question</w:t>
            </w:r>
          </w:p>
        </w:tc>
        <w:tc>
          <w:tcPr>
            <w:tcW w:type="dxa" w:w="6960"/>
            <w:tcBorders>
              <w:top w:val="single" w:color="C8A96E" w:sz="1"/>
              <w:left w:val="single" w:color="C8A96E" w:sz="1"/>
              <w:bottom w:val="single" w:color="C8A96E" w:sz="1"/>
              <w:right w:val="single" w:color="C8A96E"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Whether the specific terrain type, moisture content, elevation, or proximity to water affects the magnitude of voltage reduction. Whether accumulated terrain sessions produce cumulative bioelectrical effects. These are directions for TTC-NS-002 and beyond.</w:t>
            </w:r>
          </w:p>
        </w:tc>
      </w:tr>
    </w:tbl>
    <w:p>
      <w:pPr>
        <w:spacing w:after="0" w:before="240"/>
      </w:pPr>
    </w:p>
    <w:p>
      <w:pPr>
        <w:pStyle w:val="Heading3"/>
        <w:spacing w:after="80" w:before="240"/>
      </w:pPr>
      <w:r>
        <w:rPr>
          <w:rFonts w:ascii="Arial" w:cs="Arial" w:eastAsia="Arial" w:hAnsi="Arial"/>
          <w:b/>
          <w:bCs/>
          <w:color w:val="4A4A4A"/>
          <w:sz w:val="22"/>
          <w:szCs w:val="22"/>
        </w:rPr>
        <w:t xml:space="preserve">Required: Honest Null Result</w:t>
      </w:r>
    </w:p>
    <w:p>
      <w:pPr>
        <w:spacing w:after="120" w:before="80"/>
      </w:pPr>
      <w:r>
        <w:rPr>
          <w:rFonts w:ascii="Arial" w:cs="Arial" w:eastAsia="Arial" w:hAnsi="Arial"/>
          <w:color w:val="1A1A1A"/>
          <w:sz w:val="22"/>
          <w:szCs w:val="22"/>
        </w:rPr>
        <w:t xml:space="preserve">If your data shows no consistent directional difference, that is a valid finding. It must be communicated as clearly as a positive result. A null result that is communicated publicly contributes more to the research base than a positive result that sits in a notebook. The method produces honest data. The method does not produce desired data.</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8 — Communicate Results: The Public Record</w:t>
      </w:r>
    </w:p>
    <w:p>
      <w:pPr>
        <w:spacing w:after="120" w:before="80"/>
      </w:pPr>
      <w:r>
        <w:rPr>
          <w:rFonts w:ascii="Arial" w:cs="Arial" w:eastAsia="Arial" w:hAnsi="Arial"/>
          <w:color w:val="1A1A1A"/>
          <w:sz w:val="22"/>
          <w:szCs w:val="22"/>
        </w:rPr>
        <w:t xml:space="preserve">Your completed experiment becomes part of the Tymmber U Natural Sciences public record. The record must be submitted promptly after the final session — the gap between experiment completion and submission is part of the integrity record.</w:t>
      </w:r>
    </w:p>
    <w:p>
      <w:pPr>
        <w:pStyle w:val="Heading3"/>
        <w:spacing w:after="80" w:before="240"/>
      </w:pPr>
      <w:r>
        <w:rPr>
          <w:rFonts w:ascii="Arial" w:cs="Arial" w:eastAsia="Arial" w:hAnsi="Arial"/>
          <w:b/>
          <w:bCs/>
          <w:color w:val="4A4A4A"/>
          <w:sz w:val="22"/>
          <w:szCs w:val="22"/>
        </w:rPr>
        <w:t xml:space="preserve">Submission Requirements</w:t>
      </w:r>
    </w:p>
    <w:p>
      <w:pPr>
        <w:spacing w:after="120" w:before="80"/>
      </w:pPr>
      <w:r>
        <w:rPr>
          <w:rFonts w:ascii="Arial" w:cs="Arial" w:eastAsia="Arial" w:hAnsi="Arial"/>
          <w:color w:val="1A1A1A"/>
          <w:sz w:val="22"/>
          <w:szCs w:val="22"/>
        </w:rPr>
        <w:t xml:space="preserve">Submit your completed record to the Tymmber U Natural Sciences research portal [portal address to be published on tymmberoutdoor.com]. Your submission must include:</w:t>
      </w:r>
    </w:p>
    <w:p>
      <w:pPr>
        <w:pStyle w:val="ListParagraph"/>
        <w:numPr>
          <w:ilvl w:val="0"/>
          <w:numId w:val="2"/>
        </w:numPr>
        <w:spacing w:after="60" w:before="60"/>
      </w:pPr>
      <w:r>
        <w:rPr>
          <w:rFonts w:ascii="Arial" w:cs="Arial" w:eastAsia="Arial" w:hAnsi="Arial"/>
          <w:color w:val="1A1A1A"/>
          <w:sz w:val="22"/>
          <w:szCs w:val="22"/>
        </w:rPr>
        <w:t xml:space="preserve">Completed data table with all readings, dates, sites, and Neutral Witness signatures.</w:t>
      </w:r>
    </w:p>
    <w:p>
      <w:pPr>
        <w:pStyle w:val="ListParagraph"/>
        <w:numPr>
          <w:ilvl w:val="0"/>
          <w:numId w:val="2"/>
        </w:numPr>
        <w:spacing w:after="60" w:before="60"/>
      </w:pPr>
      <w:r>
        <w:rPr>
          <w:rFonts w:ascii="Arial" w:cs="Arial" w:eastAsia="Arial" w:hAnsi="Arial"/>
          <w:color w:val="1A1A1A"/>
          <w:sz w:val="22"/>
          <w:szCs w:val="22"/>
        </w:rPr>
        <w:t xml:space="preserve">Photographs of meter readings, notebook pages, and both sites.</w:t>
      </w:r>
    </w:p>
    <w:p>
      <w:pPr>
        <w:pStyle w:val="ListParagraph"/>
        <w:numPr>
          <w:ilvl w:val="0"/>
          <w:numId w:val="2"/>
        </w:numPr>
        <w:spacing w:after="60" w:before="60"/>
      </w:pPr>
      <w:r>
        <w:rPr>
          <w:rFonts w:ascii="Arial" w:cs="Arial" w:eastAsia="Arial" w:hAnsi="Arial"/>
          <w:color w:val="1A1A1A"/>
          <w:sz w:val="22"/>
          <w:szCs w:val="22"/>
        </w:rPr>
        <w:t xml:space="preserve">The complete Required Documentation Appendix (Sections A through F below).</w:t>
      </w:r>
    </w:p>
    <w:p>
      <w:pPr>
        <w:pStyle w:val="ListParagraph"/>
        <w:numPr>
          <w:ilvl w:val="0"/>
          <w:numId w:val="2"/>
        </w:numPr>
        <w:spacing w:after="60" w:before="60"/>
      </w:pPr>
      <w:r>
        <w:rPr>
          <w:rFonts w:ascii="Arial" w:cs="Arial" w:eastAsia="Arial" w:hAnsi="Arial"/>
          <w:color w:val="1A1A1A"/>
          <w:sz w:val="22"/>
          <w:szCs w:val="22"/>
        </w:rPr>
        <w:t xml:space="preserve">Your honest bias documentation from Step 0.</w:t>
      </w:r>
    </w:p>
    <w:p>
      <w:pPr>
        <w:pStyle w:val="ListParagraph"/>
        <w:numPr>
          <w:ilvl w:val="0"/>
          <w:numId w:val="2"/>
        </w:numPr>
        <w:spacing w:after="60" w:before="60"/>
      </w:pPr>
      <w:r>
        <w:rPr>
          <w:rFonts w:ascii="Arial" w:cs="Arial" w:eastAsia="Arial" w:hAnsi="Arial"/>
          <w:color w:val="1A1A1A"/>
          <w:sz w:val="22"/>
          <w:szCs w:val="22"/>
        </w:rPr>
        <w:t xml:space="preserve">Your Step 5 predictions, timestamped, alongside your actual results.</w:t>
      </w:r>
    </w:p>
    <w:p>
      <w:pPr>
        <w:pStyle w:val="ListParagraph"/>
        <w:numPr>
          <w:ilvl w:val="0"/>
          <w:numId w:val="2"/>
        </w:numPr>
        <w:spacing w:after="60" w:before="60"/>
      </w:pPr>
      <w:r>
        <w:rPr>
          <w:rFonts w:ascii="Arial" w:cs="Arial" w:eastAsia="Arial" w:hAnsi="Arial"/>
          <w:color w:val="1A1A1A"/>
          <w:sz w:val="22"/>
          <w:szCs w:val="22"/>
        </w:rPr>
        <w:t xml:space="preserve">Integrity Attestation signed by researcher and Neutral Witness (Step 9).</w:t>
      </w:r>
    </w:p>
    <w:p>
      <w:pPr>
        <w:pStyle w:val="Heading3"/>
        <w:spacing w:after="80" w:before="240"/>
      </w:pPr>
      <w:r>
        <w:rPr>
          <w:rFonts w:ascii="Arial" w:cs="Arial" w:eastAsia="Arial" w:hAnsi="Arial"/>
          <w:b/>
          <w:bCs/>
          <w:color w:val="4A4A4A"/>
          <w:sz w:val="22"/>
          <w:szCs w:val="22"/>
        </w:rPr>
        <w:t xml:space="preserve">Data Table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400"/>
        <w:gridCol w:w="1100"/>
        <w:gridCol w:w="1200"/>
        <w:gridCol w:w="1400"/>
        <w:gridCol w:w="1200"/>
        <w:gridCol w:w="2260"/>
      </w:tblGrid>
      <w:tr>
        <w:tc>
          <w:tcPr>
            <w:tcW w:type="dxa" w:w="8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Session</w:t>
            </w:r>
          </w:p>
        </w:tc>
        <w:tc>
          <w:tcPr>
            <w:tcW w:type="dxa" w:w="14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Condition</w:t>
            </w:r>
          </w:p>
        </w:tc>
        <w:tc>
          <w:tcPr>
            <w:tcW w:type="dxa" w:w="11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Time Start</w:t>
            </w:r>
          </w:p>
        </w:tc>
        <w:tc>
          <w:tcPr>
            <w:tcW w:type="dxa" w:w="12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Duration (min)</w:t>
            </w:r>
          </w:p>
        </w:tc>
        <w:tc>
          <w:tcPr>
            <w:tcW w:type="dxa" w:w="14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Body Voltage (mV)</w:t>
            </w:r>
          </w:p>
        </w:tc>
        <w:tc>
          <w:tcPr>
            <w:tcW w:type="dxa" w:w="120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HR (if tracked)</w:t>
            </w:r>
          </w:p>
        </w:tc>
        <w:tc>
          <w:tcPr>
            <w:tcW w:type="dxa" w:w="2260"/>
            <w:tcBorders>
              <w:top w:val="single" w:color="C8A96E" w:sz="1"/>
              <w:left w:val="single" w:color="C8A96E" w:sz="1"/>
              <w:bottom w:val="single" w:color="C8A96E" w:sz="1"/>
              <w:right w:val="single" w:color="C8A96E" w:sz="1"/>
            </w:tcBorders>
            <w:shd w:fill="8B4513" w:val="clear"/>
            <w:tcMar>
              <w:top w:type="dxa" w:w="60"/>
              <w:left w:type="dxa" w:w="80"/>
              <w:bottom w:type="dxa" w:w="60"/>
              <w:right w:type="dxa" w:w="80"/>
            </w:tcMar>
          </w:tcPr>
          <w:p>
            <w:r>
              <w:rPr>
                <w:rFonts w:ascii="Arial" w:cs="Arial" w:eastAsia="Arial" w:hAnsi="Arial"/>
                <w:b/>
                <w:bCs/>
                <w:color w:val="FFFFFF"/>
                <w:sz w:val="18"/>
                <w:szCs w:val="18"/>
              </w:rPr>
              <w:t xml:space="preserve">Notes</w:t>
            </w:r>
          </w:p>
        </w:tc>
      </w:tr>
      <w:tr>
        <w:tc>
          <w:tcPr>
            <w:tcW w:type="dxa" w:w="8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r>
      <w:tr>
        <w:tc>
          <w:tcPr>
            <w:tcW w:type="dxa" w:w="8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r>
      <w:tr>
        <w:tc>
          <w:tcPr>
            <w:tcW w:type="dxa" w:w="8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r>
      <w:tr>
        <w:tc>
          <w:tcPr>
            <w:tcW w:type="dxa" w:w="8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r>
      <w:tr>
        <w:tc>
          <w:tcPr>
            <w:tcW w:type="dxa" w:w="8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5ECD7" w:val="clear"/>
            <w:tcMar>
              <w:top w:type="dxa" w:w="60"/>
              <w:left w:type="dxa" w:w="80"/>
              <w:bottom w:type="dxa" w:w="60"/>
              <w:right w:type="dxa" w:w="80"/>
            </w:tcMar>
          </w:tcPr>
          <w:p>
            <w:r>
              <w:rPr>
                <w:rFonts w:ascii="Arial" w:cs="Arial" w:eastAsia="Arial" w:hAnsi="Arial"/>
                <w:sz w:val="18"/>
                <w:szCs w:val="18"/>
              </w:rPr>
              <w:t xml:space="preserve"> </w:t>
            </w:r>
          </w:p>
        </w:tc>
      </w:tr>
      <w:tr>
        <w:tc>
          <w:tcPr>
            <w:tcW w:type="dxa" w:w="8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1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4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120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c>
          <w:tcPr>
            <w:tcW w:type="dxa" w:w="2260"/>
            <w:tcBorders>
              <w:top w:val="single" w:color="C8A96E" w:sz="1"/>
              <w:left w:val="single" w:color="C8A96E" w:sz="1"/>
              <w:bottom w:val="single" w:color="C8A96E" w:sz="1"/>
              <w:right w:val="single" w:color="C8A96E" w:sz="1"/>
            </w:tcBorders>
            <w:shd w:fill="FFFFFF" w:val="clear"/>
            <w:tcMar>
              <w:top w:type="dxa" w:w="60"/>
              <w:left w:type="dxa" w:w="80"/>
              <w:bottom w:type="dxa" w:w="60"/>
              <w:right w:type="dxa" w:w="80"/>
            </w:tcMar>
          </w:tcPr>
          <w:p>
            <w:r>
              <w:rPr>
                <w:rFonts w:ascii="Arial" w:cs="Arial" w:eastAsia="Arial" w:hAnsi="Arial"/>
                <w:sz w:val="18"/>
                <w:szCs w:val="18"/>
              </w:rPr>
              <w:t xml:space="preserve"> </w:t>
            </w:r>
          </w:p>
        </w:tc>
      </w:tr>
    </w:tbl>
    <w:p>
      <w:pPr>
        <w:spacing w:after="0" w:before="240"/>
      </w:pPr>
    </w:p>
    <w:p>
      <w:pPr>
        <w:pBdr>
          <w:left w:val="single" w:color="8B4513" w:sz="16" w:space="8"/>
        </w:pBdr>
        <w:shd w:fill="F5ECD7" w:val="clear"/>
        <w:spacing w:after="160" w:before="160"/>
        <w:ind w:left="360"/>
      </w:pPr>
      <w:r>
        <w:rPr>
          <w:rFonts w:ascii="Arial" w:cs="Arial" w:eastAsia="Arial" w:hAnsi="Arial"/>
          <w:b/>
          <w:bCs/>
          <w:color w:val="8B4513"/>
          <w:sz w:val="20"/>
          <w:szCs w:val="20"/>
        </w:rPr>
        <w:t xml:space="preserve">⏱ TIMESTAMP REQUIRED  —  </w:t>
      </w:r>
      <w:r>
        <w:rPr>
          <w:rFonts w:ascii="Arial" w:cs="Arial" w:eastAsia="Arial" w:hAnsi="Arial"/>
          <w:i/>
          <w:iCs/>
          <w:color w:val="4A4A4A"/>
          <w:sz w:val="20"/>
          <w:szCs w:val="20"/>
        </w:rPr>
        <w:t xml:space="preserve">Neutral Witness co-signs the public record at the time of submission. Timestamp recorded.</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Step 9 — Integrity Attestation</w:t>
      </w:r>
    </w:p>
    <w:p>
      <w:pPr>
        <w:spacing w:after="120" w:before="80"/>
      </w:pPr>
      <w:r>
        <w:rPr>
          <w:rFonts w:ascii="Arial" w:cs="Arial" w:eastAsia="Arial" w:hAnsi="Arial"/>
          <w:color w:val="1A1A1A"/>
          <w:sz w:val="22"/>
          <w:szCs w:val="22"/>
        </w:rPr>
        <w:t xml:space="preserve">Before the public record is released, every researcher and the Neutral Witness signs the following attestation. This is a specific, named commitment to the integrity of the work — item by item.</w:t>
      </w:r>
    </w:p>
    <w:p>
      <w:pPr>
        <w:pStyle w:val="Heading3"/>
        <w:spacing w:after="80" w:before="240"/>
      </w:pPr>
      <w:r>
        <w:rPr>
          <w:rFonts w:ascii="Arial" w:cs="Arial" w:eastAsia="Arial" w:hAnsi="Arial"/>
          <w:b/>
          <w:bCs/>
          <w:color w:val="4A4A4A"/>
          <w:sz w:val="22"/>
          <w:szCs w:val="22"/>
        </w:rPr>
        <w:t xml:space="preserve">Researcher Attests</w:t>
      </w:r>
    </w:p>
    <w:p>
      <w:pPr>
        <w:pStyle w:val="ListParagraph"/>
        <w:numPr>
          <w:ilvl w:val="0"/>
          <w:numId w:val="2"/>
        </w:numPr>
        <w:spacing w:after="60" w:before="60"/>
      </w:pPr>
      <w:r>
        <w:rPr>
          <w:rFonts w:ascii="Arial" w:cs="Arial" w:eastAsia="Arial" w:hAnsi="Arial"/>
          <w:color w:val="1A1A1A"/>
          <w:sz w:val="22"/>
          <w:szCs w:val="22"/>
        </w:rPr>
        <w:t xml:space="preserve">The bias documented in Step 0 reflects my honest prior beliefs before this inquiry began.</w:t>
      </w:r>
    </w:p>
    <w:p>
      <w:pPr>
        <w:pStyle w:val="ListParagraph"/>
        <w:numPr>
          <w:ilvl w:val="0"/>
          <w:numId w:val="2"/>
        </w:numPr>
        <w:spacing w:after="60" w:before="60"/>
      </w:pPr>
      <w:r>
        <w:rPr>
          <w:rFonts w:ascii="Arial" w:cs="Arial" w:eastAsia="Arial" w:hAnsi="Arial"/>
          <w:color w:val="1A1A1A"/>
          <w:sz w:val="22"/>
          <w:szCs w:val="22"/>
        </w:rPr>
        <w:t xml:space="preserve">The predictions in Step 5 were recorded and timestamped before any measurement was taken.</w:t>
      </w:r>
    </w:p>
    <w:p>
      <w:pPr>
        <w:pStyle w:val="ListParagraph"/>
        <w:numPr>
          <w:ilvl w:val="0"/>
          <w:numId w:val="2"/>
        </w:numPr>
        <w:spacing w:after="60" w:before="60"/>
      </w:pPr>
      <w:r>
        <w:rPr>
          <w:rFonts w:ascii="Arial" w:cs="Arial" w:eastAsia="Arial" w:hAnsi="Arial"/>
          <w:color w:val="1A1A1A"/>
          <w:sz w:val="22"/>
          <w:szCs w:val="22"/>
        </w:rPr>
        <w:t xml:space="preserve">No data was withheld, modified, or reconstructed from memory.</w:t>
      </w:r>
    </w:p>
    <w:p>
      <w:pPr>
        <w:pStyle w:val="ListParagraph"/>
        <w:numPr>
          <w:ilvl w:val="0"/>
          <w:numId w:val="2"/>
        </w:numPr>
        <w:spacing w:after="60" w:before="60"/>
      </w:pPr>
      <w:r>
        <w:rPr>
          <w:rFonts w:ascii="Arial" w:cs="Arial" w:eastAsia="Arial" w:hAnsi="Arial"/>
          <w:color w:val="1A1A1A"/>
          <w:sz w:val="22"/>
          <w:szCs w:val="22"/>
        </w:rPr>
        <w:t xml:space="preserve">All deviations from protocol were documented in real time.</w:t>
      </w:r>
    </w:p>
    <w:p>
      <w:pPr>
        <w:pStyle w:val="ListParagraph"/>
        <w:numPr>
          <w:ilvl w:val="0"/>
          <w:numId w:val="2"/>
        </w:numPr>
        <w:spacing w:after="60" w:before="60"/>
      </w:pPr>
      <w:r>
        <w:rPr>
          <w:rFonts w:ascii="Arial" w:cs="Arial" w:eastAsia="Arial" w:hAnsi="Arial"/>
          <w:color w:val="1A1A1A"/>
          <w:sz w:val="22"/>
          <w:szCs w:val="22"/>
        </w:rPr>
        <w:t xml:space="preserve">Every finding carries its accurate Category 1, 2, or 3 designation. No Category 2 inference is presented as a Category 1 finding.</w:t>
      </w:r>
    </w:p>
    <w:p>
      <w:pPr>
        <w:pStyle w:val="ListParagraph"/>
        <w:numPr>
          <w:ilvl w:val="0"/>
          <w:numId w:val="2"/>
        </w:numPr>
        <w:spacing w:after="60" w:before="60"/>
      </w:pPr>
      <w:r>
        <w:rPr>
          <w:rFonts w:ascii="Arial" w:cs="Arial" w:eastAsia="Arial" w:hAnsi="Arial"/>
          <w:color w:val="1A1A1A"/>
          <w:sz w:val="22"/>
          <w:szCs w:val="22"/>
        </w:rPr>
        <w:t xml:space="preserve">The timestamp chain reflects the actual sequence of this inquiry.</w:t>
      </w:r>
    </w:p>
    <w:p>
      <w:pPr>
        <w:pStyle w:val="ListParagraph"/>
        <w:numPr>
          <w:ilvl w:val="0"/>
          <w:numId w:val="2"/>
        </w:numPr>
        <w:spacing w:after="60" w:before="60"/>
      </w:pPr>
      <w:r>
        <w:rPr>
          <w:rFonts w:ascii="Arial" w:cs="Arial" w:eastAsia="Arial" w:hAnsi="Arial"/>
          <w:color w:val="1A1A1A"/>
          <w:sz w:val="22"/>
          <w:szCs w:val="22"/>
        </w:rPr>
        <w:t xml:space="preserve">All conflicts of interest — financial, institutional, or personal — are disclosed in the Required Documentation Appendix.</w:t>
      </w:r>
    </w:p>
    <w:p>
      <w:pPr>
        <w:spacing w:after="80" w:before="200"/>
      </w:pPr>
      <w:r>
        <w:rPr>
          <w:rFonts w:ascii="Arial" w:cs="Arial" w:eastAsia="Arial" w:hAnsi="Arial"/>
          <w:color w:val="1A1A1A"/>
          <w:sz w:val="22"/>
          <w:szCs w:val="22"/>
        </w:rPr>
        <w:t xml:space="preserve">Researcher Signature: ________________________________   Date: ______________</w:t>
      </w:r>
    </w:p>
    <w:p>
      <w:pPr>
        <w:spacing w:after="200" w:before="80"/>
      </w:pPr>
      <w:r>
        <w:rPr>
          <w:rFonts w:ascii="Arial" w:cs="Arial" w:eastAsia="Arial" w:hAnsi="Arial"/>
          <w:color w:val="1A1A1A"/>
          <w:sz w:val="22"/>
          <w:szCs w:val="22"/>
        </w:rPr>
        <w:t xml:space="preserve">Researcher Printed Name: ________________________________________________________________</w:t>
      </w:r>
    </w:p>
    <w:p>
      <w:pPr>
        <w:pStyle w:val="Heading3"/>
        <w:spacing w:after="80" w:before="240"/>
      </w:pPr>
      <w:r>
        <w:rPr>
          <w:rFonts w:ascii="Arial" w:cs="Arial" w:eastAsia="Arial" w:hAnsi="Arial"/>
          <w:b/>
          <w:bCs/>
          <w:color w:val="4A4A4A"/>
          <w:sz w:val="22"/>
          <w:szCs w:val="22"/>
        </w:rPr>
        <w:t xml:space="preserve">Neutral Witness Attests</w:t>
      </w:r>
    </w:p>
    <w:p>
      <w:pPr>
        <w:pStyle w:val="ListParagraph"/>
        <w:numPr>
          <w:ilvl w:val="0"/>
          <w:numId w:val="2"/>
        </w:numPr>
        <w:spacing w:after="60" w:before="60"/>
      </w:pPr>
      <w:r>
        <w:rPr>
          <w:rFonts w:ascii="Arial" w:cs="Arial" w:eastAsia="Arial" w:hAnsi="Arial"/>
          <w:color w:val="1A1A1A"/>
          <w:sz w:val="22"/>
          <w:szCs w:val="22"/>
        </w:rPr>
        <w:t xml:space="preserve">I meet all independence criteria specified in this method and have documented the basis for that independence.</w:t>
      </w:r>
    </w:p>
    <w:p>
      <w:pPr>
        <w:pStyle w:val="ListParagraph"/>
        <w:numPr>
          <w:ilvl w:val="0"/>
          <w:numId w:val="2"/>
        </w:numPr>
        <w:spacing w:after="60" w:before="60"/>
      </w:pPr>
      <w:r>
        <w:rPr>
          <w:rFonts w:ascii="Arial" w:cs="Arial" w:eastAsia="Arial" w:hAnsi="Arial"/>
          <w:color w:val="1A1A1A"/>
          <w:sz w:val="22"/>
          <w:szCs w:val="22"/>
        </w:rPr>
        <w:t xml:space="preserve">I was present throughout all experiment sessions and observed the protocol being followed as written.</w:t>
      </w:r>
    </w:p>
    <w:p>
      <w:pPr>
        <w:pStyle w:val="ListParagraph"/>
        <w:numPr>
          <w:ilvl w:val="0"/>
          <w:numId w:val="2"/>
        </w:numPr>
        <w:spacing w:after="60" w:before="60"/>
      </w:pPr>
      <w:r>
        <w:rPr>
          <w:rFonts w:ascii="Arial" w:cs="Arial" w:eastAsia="Arial" w:hAnsi="Arial"/>
          <w:color w:val="1A1A1A"/>
          <w:sz w:val="22"/>
          <w:szCs w:val="22"/>
        </w:rPr>
        <w:t xml:space="preserve">I co-signed every timestamp in real time and can attest to the accuracy of the timing chain.</w:t>
      </w:r>
    </w:p>
    <w:p>
      <w:pPr>
        <w:pStyle w:val="ListParagraph"/>
        <w:numPr>
          <w:ilvl w:val="0"/>
          <w:numId w:val="2"/>
        </w:numPr>
        <w:spacing w:after="60" w:before="60"/>
      </w:pPr>
      <w:r>
        <w:rPr>
          <w:rFonts w:ascii="Arial" w:cs="Arial" w:eastAsia="Arial" w:hAnsi="Arial"/>
          <w:color w:val="1A1A1A"/>
          <w:sz w:val="22"/>
          <w:szCs w:val="22"/>
        </w:rPr>
        <w:t xml:space="preserve">I have reviewed the Recorder's real-time notes and attest that they accurately reflect what I observed.</w:t>
      </w:r>
    </w:p>
    <w:p>
      <w:pPr>
        <w:pStyle w:val="ListParagraph"/>
        <w:numPr>
          <w:ilvl w:val="0"/>
          <w:numId w:val="2"/>
        </w:numPr>
        <w:spacing w:after="60" w:before="60"/>
      </w:pPr>
      <w:r>
        <w:rPr>
          <w:rFonts w:ascii="Arial" w:cs="Arial" w:eastAsia="Arial" w:hAnsi="Arial"/>
          <w:color w:val="1A1A1A"/>
          <w:sz w:val="22"/>
          <w:szCs w:val="22"/>
        </w:rPr>
        <w:t xml:space="preserve">I have no knowledge of any deviation from the protocol that was not documented in the public record.</w:t>
      </w:r>
    </w:p>
    <w:p>
      <w:pPr>
        <w:spacing w:after="80" w:before="200"/>
      </w:pPr>
      <w:r>
        <w:rPr>
          <w:rFonts w:ascii="Arial" w:cs="Arial" w:eastAsia="Arial" w:hAnsi="Arial"/>
          <w:color w:val="1A1A1A"/>
          <w:sz w:val="22"/>
          <w:szCs w:val="22"/>
        </w:rPr>
        <w:t xml:space="preserve">Neutral Witness Signature: ________________________________   Date: ______________</w:t>
      </w:r>
    </w:p>
    <w:p>
      <w:pPr>
        <w:spacing w:after="80" w:before="80"/>
      </w:pPr>
      <w:r>
        <w:rPr>
          <w:rFonts w:ascii="Arial" w:cs="Arial" w:eastAsia="Arial" w:hAnsi="Arial"/>
          <w:color w:val="1A1A1A"/>
          <w:sz w:val="22"/>
          <w:szCs w:val="22"/>
        </w:rPr>
        <w:t xml:space="preserve">Neutral Witness Printed Name: ___________________________________________________________</w:t>
      </w:r>
    </w:p>
    <w:p>
      <w:pPr>
        <w:spacing w:after="240" w:before="80"/>
      </w:pPr>
      <w:r>
        <w:rPr>
          <w:rFonts w:ascii="Arial" w:cs="Arial" w:eastAsia="Arial" w:hAnsi="Arial"/>
          <w:color w:val="1A1A1A"/>
          <w:sz w:val="22"/>
          <w:szCs w:val="22"/>
        </w:rPr>
        <w:t xml:space="preserve">Neutral Witness Qualifications: _____________________________________________________________</w:t>
      </w:r>
    </w:p>
    <w:p>
      <w:pPr>
        <w:pBdr>
          <w:bottom w:val="single" w:color="C8A96E" w:sz="4" w:space="1"/>
        </w:pBdr>
        <w:spacing w:after="240" w:before="240"/>
      </w:pPr>
    </w:p>
    <w:p>
      <w:pPr>
        <w:pStyle w:val="Heading1"/>
      </w:pPr>
      <w:r>
        <w:rPr>
          <w:rFonts w:ascii="Arial" w:cs="Arial" w:eastAsia="Arial" w:hAnsi="Arial"/>
          <w:b/>
          <w:bCs/>
          <w:color w:val="8B4513"/>
          <w:sz w:val="36"/>
          <w:szCs w:val="36"/>
        </w:rPr>
        <w:t xml:space="preserve">Required Documentation Appendix</w:t>
      </w:r>
    </w:p>
    <w:p>
      <w:pPr>
        <w:spacing w:after="120" w:before="80"/>
      </w:pPr>
      <w:r>
        <w:rPr>
          <w:rFonts w:ascii="Arial" w:cs="Arial" w:eastAsia="Arial" w:hAnsi="Arial"/>
          <w:color w:val="1A1A1A"/>
          <w:sz w:val="22"/>
          <w:szCs w:val="22"/>
        </w:rPr>
        <w:t xml:space="preserve">Complete all six sections. This appendix is part of the public record — not optional supplementary material.</w:t>
      </w:r>
    </w:p>
    <w:p>
      <w:pPr>
        <w:pStyle w:val="Heading2"/>
        <w:spacing w:after="120" w:before="320"/>
      </w:pPr>
      <w:r>
        <w:rPr>
          <w:rFonts w:ascii="Arial" w:cs="Arial" w:eastAsia="Arial" w:hAnsi="Arial"/>
          <w:b/>
          <w:bCs/>
          <w:color w:val="1A1A1A"/>
          <w:sz w:val="26"/>
          <w:szCs w:val="26"/>
        </w:rPr>
        <w:t xml:space="preserve">A. Literature Review</w:t>
      </w:r>
    </w:p>
    <w:p>
      <w:pPr>
        <w:spacing w:after="120" w:before="80"/>
      </w:pPr>
      <w:r>
        <w:rPr>
          <w:rFonts w:ascii="Arial" w:cs="Arial" w:eastAsia="Arial" w:hAnsi="Arial"/>
          <w:color w:val="1A1A1A"/>
          <w:sz w:val="22"/>
          <w:szCs w:val="22"/>
        </w:rPr>
        <w:t xml:space="preserve">Summarize the prior experiments you read in Step 3. Cite primary sources directly. Document where you followed a consensus claim back to its original primary data source and where the chain ended.</w:t>
      </w:r>
    </w:p>
    <w:p>
      <w:pPr>
        <w:pStyle w:val="Heading2"/>
        <w:spacing w:after="120" w:before="320"/>
      </w:pPr>
      <w:r>
        <w:rPr>
          <w:rFonts w:ascii="Arial" w:cs="Arial" w:eastAsia="Arial" w:hAnsi="Arial"/>
          <w:b/>
          <w:bCs/>
          <w:color w:val="1A1A1A"/>
          <w:sz w:val="26"/>
          <w:szCs w:val="26"/>
        </w:rPr>
        <w:t xml:space="preserve">B. Methodology Limitations</w:t>
      </w:r>
    </w:p>
    <w:p>
      <w:pPr>
        <w:pStyle w:val="ListParagraph"/>
        <w:numPr>
          <w:ilvl w:val="0"/>
          <w:numId w:val="2"/>
        </w:numPr>
        <w:spacing w:after="60" w:before="60"/>
      </w:pPr>
      <w:r>
        <w:rPr>
          <w:rFonts w:ascii="Arial" w:cs="Arial" w:eastAsia="Arial" w:hAnsi="Arial"/>
          <w:color w:val="1A1A1A"/>
          <w:sz w:val="22"/>
          <w:szCs w:val="22"/>
        </w:rPr>
        <w:t xml:space="preserve">Body voltage meters measure AC electric field induction on the skin surface. They do not measure VGCC activation directly. The connection between body voltage and the Pall mechanism is a Category 2 inference at this tier.</w:t>
      </w:r>
    </w:p>
    <w:p>
      <w:pPr>
        <w:pStyle w:val="ListParagraph"/>
        <w:numPr>
          <w:ilvl w:val="0"/>
          <w:numId w:val="2"/>
        </w:numPr>
        <w:spacing w:after="60" w:before="60"/>
      </w:pPr>
      <w:r>
        <w:rPr>
          <w:rFonts w:ascii="Arial" w:cs="Arial" w:eastAsia="Arial" w:hAnsi="Arial"/>
          <w:color w:val="1A1A1A"/>
          <w:sz w:val="22"/>
          <w:szCs w:val="22"/>
        </w:rPr>
        <w:t xml:space="preserve">Researcher activity level, diet, hydration, and sleep quality affect skin conductance and may introduce variability across sessions. Document significant deviations from baseline health status on any session day.</w:t>
      </w:r>
    </w:p>
    <w:p>
      <w:pPr>
        <w:pStyle w:val="ListParagraph"/>
        <w:numPr>
          <w:ilvl w:val="0"/>
          <w:numId w:val="2"/>
        </w:numPr>
        <w:spacing w:after="60" w:before="60"/>
      </w:pPr>
      <w:r>
        <w:rPr>
          <w:rFonts w:ascii="Arial" w:cs="Arial" w:eastAsia="Arial" w:hAnsi="Arial"/>
          <w:color w:val="1A1A1A"/>
          <w:sz w:val="22"/>
          <w:szCs w:val="22"/>
        </w:rPr>
        <w:t xml:space="preserve">Weather conditions — particularly humidity and soil moisture — affect ground conductance. Sessions should document weather conditions and consider pairing sessions under similar conditions where possible.</w:t>
      </w:r>
    </w:p>
    <w:p>
      <w:pPr>
        <w:pStyle w:val="ListParagraph"/>
        <w:numPr>
          <w:ilvl w:val="0"/>
          <w:numId w:val="2"/>
        </w:numPr>
        <w:spacing w:after="60" w:before="60"/>
      </w:pPr>
      <w:r>
        <w:rPr>
          <w:rFonts w:ascii="Arial" w:cs="Arial" w:eastAsia="Arial" w:hAnsi="Arial"/>
          <w:color w:val="1A1A1A"/>
          <w:sz w:val="22"/>
          <w:szCs w:val="22"/>
        </w:rPr>
        <w:t xml:space="preserve">Single-researcher studies cannot control for individual bioelectrical variation. The value of this protocol is in aggregation across many independent researchers — not in any single person's results.</w:t>
      </w:r>
    </w:p>
    <w:p>
      <w:pPr>
        <w:pStyle w:val="ListParagraph"/>
        <w:numPr>
          <w:ilvl w:val="0"/>
          <w:numId w:val="2"/>
        </w:numPr>
        <w:spacing w:after="60" w:before="60"/>
      </w:pPr>
      <w:r>
        <w:rPr>
          <w:rFonts w:ascii="Arial" w:cs="Arial" w:eastAsia="Arial" w:hAnsi="Arial"/>
          <w:color w:val="1A1A1A"/>
          <w:sz w:val="22"/>
          <w:szCs w:val="22"/>
        </w:rPr>
        <w:t xml:space="preserve">This protocol does not control for placebo effect on subjective measures. Body voltage is an objective measurement — the meter does not know what condition the researcher is in. Subjective observations (energy, clarity, relaxation) may be recorded as supplementary data but should be labeled Category 2 or 3.</w:t>
      </w:r>
    </w:p>
    <w:p>
      <w:pPr>
        <w:pStyle w:val="Heading2"/>
        <w:spacing w:after="120" w:before="320"/>
      </w:pPr>
      <w:r>
        <w:rPr>
          <w:rFonts w:ascii="Arial" w:cs="Arial" w:eastAsia="Arial" w:hAnsi="Arial"/>
          <w:b/>
          <w:bCs/>
          <w:color w:val="1A1A1A"/>
          <w:sz w:val="26"/>
          <w:szCs w:val="26"/>
        </w:rPr>
        <w:t xml:space="preserve">C. Conflict of Interest Disclosure</w:t>
      </w:r>
    </w:p>
    <w:p>
      <w:pPr>
        <w:spacing w:after="120" w:before="80"/>
      </w:pPr>
      <w:r>
        <w:rPr>
          <w:rFonts w:ascii="Arial" w:cs="Arial" w:eastAsia="Arial" w:hAnsi="Arial"/>
          <w:color w:val="1A1A1A"/>
          <w:sz w:val="22"/>
          <w:szCs w:val="22"/>
        </w:rPr>
        <w:t xml:space="preserve">Disclose completely: any financial relationship with grounding product manufacturers, EMF protection companies, or any party with a stake in the outcome. Any institutional affiliation that benefits from a specific result. Any prior public statement on the question. Note: Tymmber Outdoor Products has a product thesis that the outdoor terrain environment benefits human health. Researchers submitting data to the Tymmber U portal should document this context and apply their own judgment about its relevance to their independence.</w:t>
      </w:r>
    </w:p>
    <w:p>
      <w:pPr>
        <w:pStyle w:val="Heading2"/>
        <w:spacing w:after="120" w:before="320"/>
      </w:pPr>
      <w:r>
        <w:rPr>
          <w:rFonts w:ascii="Arial" w:cs="Arial" w:eastAsia="Arial" w:hAnsi="Arial"/>
          <w:b/>
          <w:bCs/>
          <w:color w:val="1A1A1A"/>
          <w:sz w:val="26"/>
          <w:szCs w:val="26"/>
        </w:rPr>
        <w:t xml:space="preserve">D. Peer Review Record</w:t>
      </w:r>
    </w:p>
    <w:p>
      <w:pPr>
        <w:spacing w:after="120" w:before="80"/>
      </w:pPr>
      <w:r>
        <w:rPr>
          <w:rFonts w:ascii="Arial" w:cs="Arial" w:eastAsia="Arial" w:hAnsi="Arial"/>
          <w:color w:val="1A1A1A"/>
          <w:sz w:val="22"/>
          <w:szCs w:val="22"/>
        </w:rPr>
        <w:t xml:space="preserve">For Tier 1 citizen science submissions, peer review consists of: (1) the Neutral Witness review of methodology and data during the experiment, and (2) public submission to the Tymmber U research portal where other researchers may examine the methodology and findings. Document the Neutral Witness's specific observations and any feedback received.</w:t>
      </w:r>
    </w:p>
    <w:p>
      <w:pPr>
        <w:pStyle w:val="Heading2"/>
        <w:spacing w:after="120" w:before="320"/>
      </w:pPr>
      <w:r>
        <w:rPr>
          <w:rFonts w:ascii="Arial" w:cs="Arial" w:eastAsia="Arial" w:hAnsi="Arial"/>
          <w:b/>
          <w:bCs/>
          <w:color w:val="1A1A1A"/>
          <w:sz w:val="26"/>
          <w:szCs w:val="26"/>
        </w:rPr>
        <w:t xml:space="preserve">E. Replication Statement</w:t>
      </w:r>
    </w:p>
    <w:p>
      <w:pPr>
        <w:spacing w:after="120" w:before="80"/>
      </w:pPr>
      <w:r>
        <w:rPr>
          <w:rFonts w:ascii="Arial" w:cs="Arial" w:eastAsia="Arial" w:hAnsi="Arial"/>
          <w:color w:val="1A1A1A"/>
          <w:sz w:val="22"/>
          <w:szCs w:val="22"/>
        </w:rPr>
        <w:t xml:space="preserve">Equipment required for replication: body voltage meter (AC millivolt capable), ground rod minimum 12 inches, connecting wire, bound notebook, camera. Approximate total cost: $50–130.</w:t>
      </w:r>
    </w:p>
    <w:p>
      <w:pPr>
        <w:spacing w:after="120" w:before="80"/>
      </w:pPr>
      <w:r>
        <w:rPr>
          <w:rFonts w:ascii="Arial" w:cs="Arial" w:eastAsia="Arial" w:hAnsi="Arial"/>
          <w:color w:val="1A1A1A"/>
          <w:sz w:val="22"/>
          <w:szCs w:val="22"/>
        </w:rPr>
        <w:t xml:space="preserve">Environmental parameters for valid replication: Site A must be outdoor terrain with direct skin-to-ground contact and no artificial flooring. Site B must be indoors with WiFi active and standard household lighting and appliances operating. Pairing sessions within 48 hours is preferred to control for researcher condition.</w:t>
      </w:r>
    </w:p>
    <w:p>
      <w:pPr>
        <w:spacing w:after="120" w:before="80"/>
      </w:pPr>
      <w:r>
        <w:rPr>
          <w:rFonts w:ascii="Arial" w:cs="Arial" w:eastAsia="Arial" w:hAnsi="Arial"/>
          <w:color w:val="1A1A1A"/>
          <w:sz w:val="22"/>
          <w:szCs w:val="22"/>
        </w:rPr>
        <w:t xml:space="preserve">No specialized training required. The body voltage meter manufacturer's instructions are sufficient for operation. Researchers with questions may contact the Tymmber U Natural Sciences department at tymmberoutdoor.com.</w:t>
      </w:r>
    </w:p>
    <w:p>
      <w:pPr>
        <w:pStyle w:val="Heading2"/>
        <w:spacing w:after="120" w:before="320"/>
      </w:pPr>
      <w:r>
        <w:rPr>
          <w:rFonts w:ascii="Arial" w:cs="Arial" w:eastAsia="Arial" w:hAnsi="Arial"/>
          <w:b/>
          <w:bCs/>
          <w:color w:val="1A1A1A"/>
          <w:sz w:val="26"/>
          <w:szCs w:val="26"/>
        </w:rPr>
        <w:t xml:space="preserve">F. Complete Timestamp Chain</w:t>
      </w:r>
    </w:p>
    <w:p>
      <w:pPr>
        <w:spacing w:after="120" w:before="80"/>
      </w:pPr>
      <w:r>
        <w:rPr>
          <w:rFonts w:ascii="Arial" w:cs="Arial" w:eastAsia="Arial" w:hAnsi="Arial"/>
          <w:color w:val="1A1A1A"/>
          <w:sz w:val="22"/>
          <w:szCs w:val="22"/>
        </w:rPr>
        <w:t xml:space="preserve">Document every required timestamp with the Neutral Witness co-signature. The five required timestamps are:</w:t>
      </w:r>
    </w:p>
    <w:p>
      <w:pPr>
        <w:pStyle w:val="ListParagraph"/>
        <w:numPr>
          <w:ilvl w:val="0"/>
          <w:numId w:val="3"/>
        </w:numPr>
        <w:spacing w:after="60" w:before="60"/>
      </w:pPr>
      <w:r>
        <w:rPr>
          <w:rFonts w:ascii="Arial" w:cs="Arial" w:eastAsia="Arial" w:hAnsi="Arial"/>
          <w:color w:val="1A1A1A"/>
          <w:sz w:val="22"/>
          <w:szCs w:val="22"/>
        </w:rPr>
        <w:t xml:space="preserve">Step 0: Bias documentation completed and co-signed before inquiry begins.</w:t>
      </w:r>
    </w:p>
    <w:p>
      <w:pPr>
        <w:pStyle w:val="ListParagraph"/>
        <w:numPr>
          <w:ilvl w:val="0"/>
          <w:numId w:val="3"/>
        </w:numPr>
        <w:spacing w:after="60" w:before="60"/>
      </w:pPr>
      <w:r>
        <w:rPr>
          <w:rFonts w:ascii="Arial" w:cs="Arial" w:eastAsia="Arial" w:hAnsi="Arial"/>
          <w:color w:val="1A1A1A"/>
          <w:sz w:val="22"/>
          <w:szCs w:val="22"/>
        </w:rPr>
        <w:t xml:space="preserve">Step 2: Neutral Witness confirmed and qualified before any research or measurement.</w:t>
      </w:r>
    </w:p>
    <w:p>
      <w:pPr>
        <w:pStyle w:val="ListParagraph"/>
        <w:numPr>
          <w:ilvl w:val="0"/>
          <w:numId w:val="3"/>
        </w:numPr>
        <w:spacing w:after="60" w:before="60"/>
      </w:pPr>
      <w:r>
        <w:rPr>
          <w:rFonts w:ascii="Arial" w:cs="Arial" w:eastAsia="Arial" w:hAnsi="Arial"/>
          <w:color w:val="1A1A1A"/>
          <w:sz w:val="22"/>
          <w:szCs w:val="22"/>
        </w:rPr>
        <w:t xml:space="preserve">Step 5: Predictions recorded and co-signed before any measurement begins.</w:t>
      </w:r>
    </w:p>
    <w:p>
      <w:pPr>
        <w:pStyle w:val="ListParagraph"/>
        <w:numPr>
          <w:ilvl w:val="0"/>
          <w:numId w:val="3"/>
        </w:numPr>
        <w:spacing w:after="60" w:before="60"/>
      </w:pPr>
      <w:r>
        <w:rPr>
          <w:rFonts w:ascii="Arial" w:cs="Arial" w:eastAsia="Arial" w:hAnsi="Arial"/>
          <w:color w:val="1A1A1A"/>
          <w:sz w:val="22"/>
          <w:szCs w:val="22"/>
        </w:rPr>
        <w:t xml:space="preserve">Step 6: Session initiation and conclusion timestamps, co-signed for each session.</w:t>
      </w:r>
    </w:p>
    <w:p>
      <w:pPr>
        <w:pStyle w:val="ListParagraph"/>
        <w:numPr>
          <w:ilvl w:val="0"/>
          <w:numId w:val="3"/>
        </w:numPr>
        <w:spacing w:after="60" w:before="60"/>
      </w:pPr>
      <w:r>
        <w:rPr>
          <w:rFonts w:ascii="Arial" w:cs="Arial" w:eastAsia="Arial" w:hAnsi="Arial"/>
          <w:color w:val="1A1A1A"/>
          <w:sz w:val="22"/>
          <w:szCs w:val="22"/>
        </w:rPr>
        <w:t xml:space="preserve">Step 8: Public record submission timestamp, co-signed.</w:t>
      </w:r>
    </w:p>
    <w:p>
      <w:pPr>
        <w:spacing w:after="120" w:before="80"/>
      </w:pPr>
      <w:r>
        <w:rPr>
          <w:rFonts w:ascii="Arial" w:cs="Arial" w:eastAsia="Arial" w:hAnsi="Arial"/>
          <w:color w:val="1A1A1A"/>
          <w:sz w:val="22"/>
          <w:szCs w:val="22"/>
        </w:rPr>
        <w:t xml:space="preserve">Any gap in the chain must be documented with its reason.</w:t>
      </w:r>
    </w:p>
    <w:p>
      <w:pPr>
        <w:pBdr>
          <w:bottom w:val="single" w:color="C8A96E" w:sz="4" w:space="1"/>
        </w:pBdr>
        <w:spacing w:after="240" w:before="240"/>
      </w:pPr>
    </w:p>
    <w:p>
      <w:pPr>
        <w:spacing w:after="160" w:before="240"/>
      </w:pPr>
      <w:r>
        <w:rPr>
          <w:rFonts w:ascii="Arial" w:cs="Arial" w:eastAsia="Arial" w:hAnsi="Arial"/>
          <w:b/>
          <w:bCs/>
          <w:color w:val="8B4513"/>
          <w:sz w:val="26"/>
          <w:szCs w:val="26"/>
        </w:rPr>
        <w:t xml:space="preserve">Pathway to Tier 2</w:t>
      </w:r>
    </w:p>
    <w:p>
      <w:pPr>
        <w:spacing w:after="120" w:before="80"/>
      </w:pPr>
      <w:r>
        <w:rPr>
          <w:rFonts w:ascii="Arial" w:cs="Arial" w:eastAsia="Arial" w:hAnsi="Arial"/>
          <w:color w:val="1A1A1A"/>
          <w:sz w:val="22"/>
          <w:szCs w:val="22"/>
        </w:rPr>
        <w:t xml:space="preserve">TTC-NS-001 is the first rung. When sufficient Tier 1 data is aggregated across independent researchers, the directional pattern (or absence of one) will inform TTC-NS-002 — a Tier 2 protocol adding terrain type variables, and eventually a clinical protocol measuring nitric oxide metabolites and inflammatory biomarkers alongside body voltage. The citizen science floor builds the clinical ceiling. Every submitted dataset advances that case.</w:t>
      </w:r>
    </w:p>
    <w:p>
      <w:pPr>
        <w:pBdr>
          <w:bottom w:val="single" w:color="C8A96E" w:sz="4" w:space="1"/>
        </w:pBdr>
        <w:spacing w:after="240" w:before="240"/>
      </w:pPr>
    </w:p>
    <w:p>
      <w:pPr>
        <w:spacing w:after="80" w:before="160"/>
      </w:pPr>
      <w:r>
        <w:rPr>
          <w:rFonts w:ascii="Arial" w:cs="Arial" w:eastAsia="Arial" w:hAnsi="Arial"/>
          <w:b/>
          <w:bCs/>
          <w:i/>
          <w:iCs/>
          <w:color w:val="8B4513"/>
          <w:sz w:val="28"/>
          <w:szCs w:val="28"/>
        </w:rPr>
        <w:t xml:space="preserve">Nullius in Verba.</w:t>
      </w:r>
    </w:p>
    <w:p>
      <w:pPr>
        <w:spacing w:after="80" w:before="0"/>
      </w:pPr>
      <w:r>
        <w:rPr>
          <w:rFonts w:ascii="Arial" w:cs="Arial" w:eastAsia="Arial" w:hAnsi="Arial"/>
          <w:i/>
          <w:iCs/>
          <w:color w:val="4A4A4A"/>
          <w:sz w:val="22"/>
          <w:szCs w:val="22"/>
        </w:rPr>
        <w:t xml:space="preserve">Take Nobody's Word For It. Including Ours.</w:t>
      </w:r>
    </w:p>
    <w:p>
      <w:pPr>
        <w:spacing w:after="80" w:before="80"/>
      </w:pPr>
      <w:r>
        <w:rPr>
          <w:rFonts w:ascii="Arial" w:cs="Arial" w:eastAsia="Arial" w:hAnsi="Arial"/>
          <w:color w:val="4A4A4A"/>
          <w:sz w:val="18"/>
          <w:szCs w:val="18"/>
        </w:rPr>
        <w:t xml:space="preserve">Tymmber U  ·  Natural Sciences Department  ·  TTC-NS-001  ·  Version 1.0  ·  April 2026</w:t>
      </w:r>
    </w:p>
    <w:p>
      <w:pPr>
        <w:spacing w:after="80" w:before="0"/>
      </w:pPr>
      <w:r>
        <w:rPr>
          <w:rFonts w:ascii="Arial" w:cs="Arial" w:eastAsia="Arial" w:hAnsi="Arial"/>
          <w:color w:val="4A4A4A"/>
          <w:sz w:val="18"/>
          <w:szCs w:val="18"/>
        </w:rPr>
        <w:t xml:space="preserve">tymmberoutdoor.com  ·  Sierra County, New Mexico</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8B4513"/>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A1A1A"/>
      <w:sz w:val="26"/>
      <w:szCs w:val="26"/>
    </w:rPr>
  </w:style>
  <w:style w:type="paragraph" w:styleId="Heading3">
    <w:name w:val="Heading 3"/>
    <w:basedOn w:val="Normal"/>
    <w:next w:val="Normal"/>
    <w:qFormat/>
    <w:pPr>
      <w:spacing w:after="80" w:before="240"/>
      <w:outlineLvl w:val="2"/>
    </w:pPr>
    <w:rPr>
      <w:rFonts w:ascii="Arial" w:cs="Arial" w:eastAsia="Arial" w:hAnsi="Arial"/>
      <w:b/>
      <w:bCs/>
      <w:color w:val="4A4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2026-04-07T16:09:06.247Z</dcterms:created>
  <dcterms:modified xsi:type="dcterms:W3CDTF">2026-04-07T16:09:06.248Z</dcterms:modified>
</cp:coreProperties>
</file>

<file path=docProps/custom.xml><?xml version="1.0" encoding="utf-8"?>
<Properties xmlns="http://schemas.openxmlformats.org/officeDocument/2006/custom-properties" xmlns:vt="http://schemas.openxmlformats.org/officeDocument/2006/docPropsVTypes"/>
</file>