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pPr>
      <w:r>
        <w:rPr>
          <w:rFonts w:ascii="Arial" w:cs="Arial" w:eastAsia="Arial" w:hAnsi="Arial"/>
          <w:b/>
          <w:bCs/>
          <w:caps/>
          <w:color w:val="8B4513"/>
          <w:sz w:val="20"/>
          <w:szCs w:val="20"/>
        </w:rPr>
        <w:t xml:space="preserve">TYMMBER U  ·  NATURAL SCIENCES  ·  BIOLOGY SUB-DEPARTMENT</w:t>
      </w:r>
    </w:p>
    <w:p>
      <w:pPr>
        <w:spacing w:after="80" w:before="0"/>
      </w:pPr>
      <w:r>
        <w:rPr>
          <w:rFonts w:ascii="Arial" w:cs="Arial" w:eastAsia="Arial" w:hAnsi="Arial"/>
          <w:color w:val="4A4A4A"/>
          <w:sz w:val="20"/>
          <w:szCs w:val="20"/>
        </w:rPr>
        <w:t xml:space="preserve">Test the Claim  ·  TTC-NS-002</w:t>
      </w:r>
    </w:p>
    <w:p>
      <w:pPr>
        <w:pBdr>
          <w:bottom w:val="single" w:color="C8A96E" w:sz="6" w:space="1"/>
        </w:pBdr>
        <w:spacing w:after="280" w:before="280"/>
      </w:pPr>
    </w:p>
    <w:p>
      <w:pPr>
        <w:spacing w:after="80" w:before="80"/>
      </w:pPr>
      <w:r>
        <w:rPr>
          <w:rFonts w:ascii="Arial" w:cs="Arial" w:eastAsia="Arial" w:hAnsi="Arial"/>
          <w:b/>
          <w:bCs/>
          <w:color w:val="1A1A1A"/>
          <w:sz w:val="44"/>
          <w:szCs w:val="44"/>
        </w:rPr>
        <w:t xml:space="preserve">Touch a Tree:</w:t>
      </w:r>
    </w:p>
    <w:p>
      <w:pPr>
        <w:spacing w:after="80" w:before="0"/>
      </w:pPr>
      <w:r>
        <w:rPr>
          <w:rFonts w:ascii="Arial" w:cs="Arial" w:eastAsia="Arial" w:hAnsi="Arial"/>
          <w:b/>
          <w:bCs/>
          <w:color w:val="1A1A1A"/>
          <w:sz w:val="38"/>
          <w:szCs w:val="38"/>
        </w:rPr>
        <w:t xml:space="preserve">Does Two Hours of Direct Contact with a Living Tree</w:t>
      </w:r>
    </w:p>
    <w:p>
      <w:pPr>
        <w:spacing w:after="240" w:before="0"/>
      </w:pPr>
      <w:r>
        <w:rPr>
          <w:rFonts w:ascii="Arial" w:cs="Arial" w:eastAsia="Arial" w:hAnsi="Arial"/>
          <w:b/>
          <w:bCs/>
          <w:color w:val="1A1A1A"/>
          <w:sz w:val="38"/>
          <w:szCs w:val="38"/>
        </w:rPr>
        <w:t xml:space="preserve">Produce Measurable Immune Changes That Persist for Seven Days?</w:t>
      </w:r>
    </w:p>
    <w:p>
      <w:pPr>
        <w:spacing w:after="400" w:before="0"/>
      </w:pPr>
      <w:r>
        <w:rPr>
          <w:rFonts w:ascii="Arial" w:cs="Arial" w:eastAsia="Arial" w:hAnsi="Arial"/>
          <w:i/>
          <w:iCs/>
          <w:color w:val="4A4A4A"/>
          <w:sz w:val="22"/>
          <w:szCs w:val="22"/>
        </w:rPr>
        <w:t xml:space="preserve">A Tier 1 Citizen Science Protocol  ·  Tymmber U Authentic Scientific Method v1.2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Document ID</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TTC-NS-002</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Series</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Test the Claim — Natural Sciences / Biology Sub-Department</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Claim Under Test</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Spending a minimum of two hours in direct contact with a living tree in a natural forest environment produces measurable biological changes in the human immune system — specifically increased natural killer cell activity — that persist for a minimum of seven days after a single exposure, through the mechanism of phytoncide inhalation, independently of exercise or placebo.</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Method Applied</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Tymmber U Authentic Scientific Method v1.2</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Tier</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Tier 1 — Citizen Science (consumer-grade tools + at-home immune proxy markers)</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Designed For</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Independent researchers, families, educators, Tymmber U enrollees</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Prerequisite Protocol</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TTC-NS-001 (Terrain Contact &amp; Body Voltage) — recommended, not required</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Version</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1.0 — April 2026</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Operating Standard</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Nullius in Verba — Take Nobody’s Word For It</w:t>
            </w:r>
          </w:p>
        </w:tc>
      </w:tr>
    </w:tbl>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Step 0 — Document Your Bias Before You Begin</w:t>
      </w:r>
    </w:p>
    <w:p>
      <w:pPr>
        <w:spacing w:after="120" w:before="80"/>
      </w:pPr>
      <w:r>
        <w:rPr>
          <w:rFonts w:ascii="Arial" w:cs="Arial" w:eastAsia="Arial" w:hAnsi="Arial"/>
          <w:color w:val="1A1A1A"/>
          <w:sz w:val="22"/>
          <w:szCs w:val="22"/>
        </w:rPr>
        <w:t xml:space="preserve">This step is completed by each researcher individually before reading further. Answer the following prompts in your own handwriting in your bound notebook before any experiment begins. The Neutral Witness reviews and co-signs your documentation before Step 1 proceeds.</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Bias Prompts — Answer These Before Continuing</w:t>
      </w:r>
    </w:p>
    <w:p>
      <w:pPr>
        <w:pStyle w:val="ListParagraph"/>
        <w:numPr>
          <w:ilvl w:val="0"/>
          <w:numId w:val="2"/>
        </w:numPr>
        <w:spacing w:after="60" w:before="60"/>
      </w:pPr>
      <w:r>
        <w:rPr>
          <w:rFonts w:ascii="Arial" w:cs="Arial" w:eastAsia="Arial" w:hAnsi="Arial"/>
          <w:color w:val="1A1A1A"/>
          <w:sz w:val="22"/>
          <w:szCs w:val="22"/>
        </w:rPr>
        <w:t xml:space="preserve">Do I currently believe that spending time near trees has measurable health benefits? On what basis — personal experience, reading, or institutional authority?</w:t>
      </w:r>
    </w:p>
    <w:p>
      <w:pPr>
        <w:pStyle w:val="ListParagraph"/>
        <w:numPr>
          <w:ilvl w:val="0"/>
          <w:numId w:val="2"/>
        </w:numPr>
        <w:spacing w:after="60" w:before="60"/>
      </w:pPr>
      <w:r>
        <w:rPr>
          <w:rFonts w:ascii="Arial" w:cs="Arial" w:eastAsia="Arial" w:hAnsi="Arial"/>
          <w:color w:val="1A1A1A"/>
          <w:sz w:val="22"/>
          <w:szCs w:val="22"/>
        </w:rPr>
        <w:t xml:space="preserve">Do I expect to see a measurable immune marker change after a two-hour forest session? In which direction and by what magnitude?</w:t>
      </w:r>
    </w:p>
    <w:p>
      <w:pPr>
        <w:pStyle w:val="ListParagraph"/>
        <w:numPr>
          <w:ilvl w:val="0"/>
          <w:numId w:val="2"/>
        </w:numPr>
        <w:spacing w:after="60" w:before="60"/>
      </w:pPr>
      <w:r>
        <w:rPr>
          <w:rFonts w:ascii="Arial" w:cs="Arial" w:eastAsia="Arial" w:hAnsi="Arial"/>
          <w:color w:val="1A1A1A"/>
          <w:sz w:val="22"/>
          <w:szCs w:val="22"/>
        </w:rPr>
        <w:t xml:space="preserve">Am I approaching this experiment hoping to confirm that trees are beneficial — or hoping to show the claim is overstated?</w:t>
      </w:r>
    </w:p>
    <w:p>
      <w:pPr>
        <w:pStyle w:val="ListParagraph"/>
        <w:numPr>
          <w:ilvl w:val="0"/>
          <w:numId w:val="2"/>
        </w:numPr>
        <w:spacing w:after="60" w:before="60"/>
      </w:pPr>
      <w:r>
        <w:rPr>
          <w:rFonts w:ascii="Arial" w:cs="Arial" w:eastAsia="Arial" w:hAnsi="Arial"/>
          <w:color w:val="1A1A1A"/>
          <w:sz w:val="22"/>
          <w:szCs w:val="22"/>
        </w:rPr>
        <w:t xml:space="preserve">Have I consumed any immune-modifying substances in the past 30 days (antibiotics, immunosuppressants, vaccines, high-dose supplements)? Document these. They are not disqualifying but must be noted.</w:t>
      </w:r>
    </w:p>
    <w:p>
      <w:pPr>
        <w:pStyle w:val="ListParagraph"/>
        <w:numPr>
          <w:ilvl w:val="0"/>
          <w:numId w:val="2"/>
        </w:numPr>
        <w:spacing w:after="60" w:before="60"/>
      </w:pPr>
      <w:r>
        <w:rPr>
          <w:rFonts w:ascii="Arial" w:cs="Arial" w:eastAsia="Arial" w:hAnsi="Arial"/>
          <w:color w:val="1A1A1A"/>
          <w:sz w:val="22"/>
          <w:szCs w:val="22"/>
        </w:rPr>
        <w:t xml:space="preserve">Do I have any financial, professional, or personal interest in what this experiment shows?</w:t>
      </w:r>
    </w:p>
    <w:p>
      <w:pPr>
        <w:pStyle w:val="ListParagraph"/>
        <w:numPr>
          <w:ilvl w:val="0"/>
          <w:numId w:val="2"/>
        </w:numPr>
        <w:spacing w:after="60" w:before="60"/>
      </w:pPr>
      <w:r>
        <w:rPr>
          <w:rFonts w:ascii="Arial" w:cs="Arial" w:eastAsia="Arial" w:hAnsi="Arial"/>
          <w:color w:val="1A1A1A"/>
          <w:sz w:val="22"/>
          <w:szCs w:val="22"/>
        </w:rPr>
        <w:t xml:space="preserve">What result would genuinely surprise me? What result would I find most uncomfortable to report publicly?</w:t>
      </w:r>
    </w:p>
    <w:p>
      <w:pPr>
        <w:spacing w:after="120" w:before="80"/>
      </w:pPr>
      <w:r>
        <w:rPr>
          <w:rFonts w:ascii="Arial" w:cs="Arial" w:eastAsia="Arial" w:hAnsi="Arial"/>
          <w:color w:val="1A1A1A"/>
          <w:sz w:val="22"/>
          <w:szCs w:val="22"/>
        </w:rPr>
        <w:t xml:space="preserve">Write your answers in plain language. The purpose is not to eliminate bias — it is to make it visible. A documented bias is a manageable one. An undocumented bias is invisible, and invisible biases are where the most consequential errors enter the record.</w:t>
      </w:r>
    </w:p>
    <w:p>
      <w:pPr>
        <w:pBdr>
          <w:left w:val="single" w:color="8B4513" w:sz="18" w:space="8"/>
        </w:pBdr>
        <w:shd w:fill="F5ECD7" w:val="clear"/>
        <w:spacing w:after="160" w:before="160"/>
        <w:ind w:left="360"/>
      </w:pPr>
      <w:r>
        <w:rPr>
          <w:rFonts w:ascii="Arial" w:cs="Arial" w:eastAsia="Arial" w:hAnsi="Arial"/>
          <w:b/>
          <w:bCs/>
          <w:color w:val="8B4513"/>
          <w:sz w:val="20"/>
          <w:szCs w:val="20"/>
        </w:rPr>
        <w:t xml:space="preserve">⏱ TIMESTAMP REQUIRED  —  </w:t>
      </w:r>
      <w:r>
        <w:rPr>
          <w:rFonts w:ascii="Arial" w:cs="Arial" w:eastAsia="Arial" w:hAnsi="Arial"/>
          <w:i/>
          <w:iCs/>
          <w:color w:val="4A4A4A"/>
          <w:sz w:val="20"/>
          <w:szCs w:val="20"/>
        </w:rPr>
        <w:t xml:space="preserve">Neutral Witness reviews and co-signs researcher bias documentation before Step 1 begins.</w:t>
      </w:r>
    </w:p>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Step 1 — The Question</w:t>
      </w:r>
    </w:p>
    <w:p>
      <w:pPr>
        <w:pBdr>
          <w:left w:val="single" w:color="8B4513" w:sz="14" w:space="14"/>
        </w:pBdr>
        <w:spacing w:after="160" w:before="160"/>
        <w:ind w:left="720" w:right="360"/>
      </w:pPr>
      <w:r>
        <w:rPr>
          <w:rFonts w:ascii="Arial" w:cs="Arial" w:eastAsia="Arial" w:hAnsi="Arial"/>
          <w:i/>
          <w:iCs/>
          <w:color w:val="4A4A4A"/>
          <w:sz w:val="22"/>
          <w:szCs w:val="22"/>
        </w:rPr>
        <w:t xml:space="preserve">Does spending a minimum of two hours in direct contact with a living tree in a natural forest environment produce a measurable change in immune system markers — specifically natural killer cell proxies — that persists for at least seven days after a single exposure, through the mechanism of phytoncide inhalation, independently of exercise, placebo, or urban atmospheric conditions?</w:t>
      </w:r>
    </w:p>
    <w:p>
      <w:pPr>
        <w:spacing w:after="120" w:before="80"/>
      </w:pPr>
      <w:r>
        <w:rPr>
          <w:rFonts w:ascii="Arial" w:cs="Arial" w:eastAsia="Arial" w:hAnsi="Arial"/>
          <w:color w:val="1A1A1A"/>
          <w:sz w:val="22"/>
          <w:szCs w:val="22"/>
        </w:rPr>
        <w:t xml:space="preserve">This question is held open in both directions. A result showing no measurable immune change is as scientifically valuable as a positive result. It is more important to the public record than a positive result that is never honestly tested.</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Why This Question — The Research Gap This Protocol Addresses</w:t>
      </w:r>
    </w:p>
    <w:p>
      <w:pPr>
        <w:spacing w:after="120" w:before="80"/>
      </w:pPr>
      <w:r>
        <w:rPr>
          <w:rFonts w:ascii="Arial" w:cs="Arial" w:eastAsia="Arial" w:hAnsi="Arial"/>
          <w:color w:val="1A1A1A"/>
          <w:sz w:val="22"/>
          <w:szCs w:val="22"/>
        </w:rPr>
        <w:t xml:space="preserve">In 1997, Suzanne Simard published in Nature the demonstration that trees in a natural forest exchange carbon through underground mycorrhizal fungal networks. That finding established that a forest is not a collection of competing individuals. It is a connected system.</w:t>
      </w:r>
    </w:p>
    <w:p>
      <w:pPr>
        <w:spacing w:after="120" w:before="80"/>
      </w:pPr>
      <w:r>
        <w:rPr>
          <w:rFonts w:ascii="Arial" w:cs="Arial" w:eastAsia="Arial" w:hAnsi="Arial"/>
          <w:color w:val="1A1A1A"/>
          <w:sz w:val="22"/>
          <w:szCs w:val="22"/>
        </w:rPr>
        <w:t xml:space="preserve">Between 2006 and 2009, Dr. Qing Li at Nippon Medical School in Tokyo conducted a series of controlled studies establishing that the mechanism behind the human health benefit of forest proximity is chemical. Trees continuously release volatile organic compounds called phytoncides — alpha-pinene, beta-pinene, d-limonene — into the air around them. When humans breathe these molecules, natural killer (NK) cell activity increases measurably, anti-cancer proteins in lymphocytes elevate, and stress hormones adrenaline and noradrenaline decrease.</w:t>
      </w:r>
    </w:p>
    <w:p>
      <w:pPr>
        <w:spacing w:after="120" w:before="80"/>
      </w:pPr>
      <w:r>
        <w:rPr>
          <w:rFonts w:ascii="Arial" w:cs="Arial" w:eastAsia="Arial" w:hAnsi="Arial"/>
          <w:color w:val="1A1A1A"/>
          <w:sz w:val="22"/>
          <w:szCs w:val="22"/>
        </w:rPr>
        <w:t xml:space="preserve">In Li’s critical 2009 protocol, the effect was produced not in a forest, but in a Tokyo hotel room, by vaporizing cypress oil through a humidifier. The forest was removed from the equation. The phytoncides were not. This isolated the mechanism. Li’s 2008 comparison study then demonstrated that matched trips to a city — same activity level, different atmosphere — produced no NK increase and no adrenaline decrease. Phytoncides were detected in forest air. They were essentially absent in city air.</w:t>
      </w:r>
    </w:p>
    <w:p>
      <w:pPr>
        <w:spacing w:after="120" w:before="80"/>
      </w:pPr>
      <w:r>
        <w:rPr>
          <w:rFonts w:ascii="Arial" w:cs="Arial" w:eastAsia="Arial" w:hAnsi="Arial"/>
          <w:color w:val="1A1A1A"/>
          <w:sz w:val="22"/>
          <w:szCs w:val="22"/>
        </w:rPr>
        <w:t xml:space="preserve">A 2024 meta-analysis confirmed the finding across multiple studies: significant NK cell activation with Effect Size 2.50. This is not fringe research. It is Category A evidence.</w:t>
      </w:r>
    </w:p>
    <w:p>
      <w:pPr>
        <w:spacing w:after="120" w:before="80"/>
      </w:pPr>
      <w:r>
        <w:rPr>
          <w:rFonts w:ascii="Arial" w:cs="Arial" w:eastAsia="Arial" w:hAnsi="Arial"/>
          <w:color w:val="1A1A1A"/>
          <w:sz w:val="22"/>
          <w:szCs w:val="22"/>
        </w:rPr>
        <w:t xml:space="preserve">What Li’s studies cannot tell us is whether the benefit scales to a single tree, a single two-hour session, in varied terrain, by independent researchers without clinical laboratory equipment. Li’s studies used flow cytometry and chromium release assays. Citizen scientists do not have access to those instruments. This protocol bridges that gap by using at-home immune proxy markers — complete blood count — to test the directional pattern, while explicitly documenting the limitation that these are proxies, not direct NK assays.</w:t>
      </w:r>
    </w:p>
    <w:p>
      <w:pPr>
        <w:spacing w:after="120" w:before="80"/>
      </w:pPr>
      <w:r>
        <w:rPr>
          <w:rFonts w:ascii="Arial" w:cs="Arial" w:eastAsia="Arial" w:hAnsi="Arial"/>
          <w:color w:val="1A1A1A"/>
          <w:sz w:val="22"/>
          <w:szCs w:val="22"/>
        </w:rPr>
        <w:t xml:space="preserve">This protocol also adds a second measurement: body voltage via meter, connecting TTC-NS-002 directly to TTC-NS-001. Tree trunks are grounded conductors. The electron transfer mechanism documented in the earthing literature (Chevalier et al., 2013) is physically present in tree contact. This protocol begins measuring both mechanisms in the same session, by the same researcher, on the same day.</w:t>
      </w:r>
    </w:p>
    <w:p>
      <w:pPr>
        <w:spacing w:after="120" w:before="80"/>
      </w:pPr>
      <w:r>
        <w:rPr>
          <w:rFonts w:ascii="Arial" w:cs="Arial" w:eastAsia="Arial" w:hAnsi="Arial"/>
          <w:color w:val="1A1A1A"/>
          <w:sz w:val="22"/>
          <w:szCs w:val="22"/>
        </w:rPr>
        <w:t xml:space="preserve">TTC-NS-002 is the second rung. TTC-NS-001 established the body voltage baseline. TTC-NS-002 adds immune proxy measurement. TTC-NS-003 will require clinical partnership for direct NK cell assay. The citizen science floor builds the clinical ceiling.</w:t>
      </w:r>
    </w:p>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Step 2 — Confirm the Neutral Witness</w:t>
      </w:r>
    </w:p>
    <w:p>
      <w:pPr>
        <w:spacing w:after="120" w:before="80"/>
      </w:pPr>
      <w:r>
        <w:rPr>
          <w:rFonts w:ascii="Arial" w:cs="Arial" w:eastAsia="Arial" w:hAnsi="Arial"/>
          <w:color w:val="1A1A1A"/>
          <w:sz w:val="22"/>
          <w:szCs w:val="22"/>
        </w:rPr>
        <w:t xml:space="preserve">Before any research, measurement, or site selection begins, identify, qualify, and confirm your Neutral Witness using the full criteria of ASM v1.2. The Neutral Witness must meet ALL of the following:</w:t>
      </w:r>
    </w:p>
    <w:p>
      <w:pPr>
        <w:pStyle w:val="Heading3"/>
        <w:spacing w:after="80" w:before="240"/>
      </w:pPr>
      <w:r>
        <w:rPr>
          <w:rFonts w:ascii="Arial" w:cs="Arial" w:eastAsia="Arial" w:hAnsi="Arial"/>
          <w:b/>
          <w:bCs/>
          <w:color w:val="4A4A4A"/>
          <w:sz w:val="22"/>
          <w:szCs w:val="22"/>
        </w:rPr>
        <w:t xml:space="preserve">Neutral Witness Qualification Checklist</w:t>
      </w:r>
    </w:p>
    <w:p>
      <w:pPr>
        <w:pStyle w:val="ListParagraph"/>
        <w:numPr>
          <w:ilvl w:val="0"/>
          <w:numId w:val="2"/>
        </w:numPr>
        <w:spacing w:after="60" w:before="60"/>
      </w:pPr>
      <w:r>
        <w:rPr>
          <w:rFonts w:ascii="Arial" w:cs="Arial" w:eastAsia="Arial" w:hAnsi="Arial"/>
          <w:color w:val="1A1A1A"/>
          <w:sz w:val="22"/>
          <w:szCs w:val="22"/>
        </w:rPr>
        <w:t xml:space="preserve">Technical competence to verify that at-home blood test kits are being used correctly per manufacturer instructions, and that the body voltage meter is operating correctly.</w:t>
      </w:r>
    </w:p>
    <w:p>
      <w:pPr>
        <w:pStyle w:val="ListParagraph"/>
        <w:numPr>
          <w:ilvl w:val="0"/>
          <w:numId w:val="2"/>
        </w:numPr>
        <w:spacing w:after="60" w:before="60"/>
      </w:pPr>
      <w:r>
        <w:rPr>
          <w:rFonts w:ascii="Arial" w:cs="Arial" w:eastAsia="Arial" w:hAnsi="Arial"/>
          <w:color w:val="1A1A1A"/>
          <w:sz w:val="22"/>
          <w:szCs w:val="22"/>
        </w:rPr>
        <w:t xml:space="preserve">No financial interest in what the experiment shows — no relationship with forest therapy practitioners, wellness product companies, supplement manufacturers, or any party benefiting from a specific result.</w:t>
      </w:r>
    </w:p>
    <w:p>
      <w:pPr>
        <w:pStyle w:val="ListParagraph"/>
        <w:numPr>
          <w:ilvl w:val="0"/>
          <w:numId w:val="2"/>
        </w:numPr>
        <w:spacing w:after="60" w:before="60"/>
      </w:pPr>
      <w:r>
        <w:rPr>
          <w:rFonts w:ascii="Arial" w:cs="Arial" w:eastAsia="Arial" w:hAnsi="Arial"/>
          <w:color w:val="1A1A1A"/>
          <w:sz w:val="22"/>
          <w:szCs w:val="22"/>
        </w:rPr>
        <w:t xml:space="preserve">No institutional affiliation that benefits from a specific outcome.</w:t>
      </w:r>
    </w:p>
    <w:p>
      <w:pPr>
        <w:pStyle w:val="ListParagraph"/>
        <w:numPr>
          <w:ilvl w:val="0"/>
          <w:numId w:val="2"/>
        </w:numPr>
        <w:spacing w:after="60" w:before="60"/>
      </w:pPr>
      <w:r>
        <w:rPr>
          <w:rFonts w:ascii="Arial" w:cs="Arial" w:eastAsia="Arial" w:hAnsi="Arial"/>
          <w:color w:val="1A1A1A"/>
          <w:sz w:val="22"/>
          <w:szCs w:val="22"/>
        </w:rPr>
        <w:t xml:space="preserve">No professional or personal relationship with any researcher conducting the experiment.</w:t>
      </w:r>
    </w:p>
    <w:p>
      <w:pPr>
        <w:pStyle w:val="ListParagraph"/>
        <w:numPr>
          <w:ilvl w:val="0"/>
          <w:numId w:val="2"/>
        </w:numPr>
        <w:spacing w:after="60" w:before="60"/>
      </w:pPr>
      <w:r>
        <w:rPr>
          <w:rFonts w:ascii="Arial" w:cs="Arial" w:eastAsia="Arial" w:hAnsi="Arial"/>
          <w:color w:val="1A1A1A"/>
          <w:sz w:val="22"/>
          <w:szCs w:val="22"/>
        </w:rPr>
        <w:t xml:space="preserve">No relationship with any manufacturer of tools, test kits, or equipment used.</w:t>
      </w:r>
    </w:p>
    <w:p>
      <w:pPr>
        <w:spacing w:after="120" w:before="80"/>
      </w:pPr>
      <w:r>
        <w:rPr>
          <w:rFonts w:ascii="Arial" w:cs="Arial" w:eastAsia="Arial" w:hAnsi="Arial"/>
          <w:color w:val="1A1A1A"/>
          <w:sz w:val="22"/>
          <w:szCs w:val="22"/>
        </w:rPr>
        <w:t xml:space="preserve">If a fully independent Neutral Witness is not achievable, document honestly: who was the closest available candidate, what relationship existed, and why full independence was not achievable. Transparency about limitation is more credible than claimed independence that is undocumented.</w:t>
      </w:r>
    </w:p>
    <w:p>
      <w:pPr>
        <w:pStyle w:val="Heading3"/>
        <w:spacing w:after="80" w:before="240"/>
      </w:pPr>
      <w:r>
        <w:rPr>
          <w:rFonts w:ascii="Arial" w:cs="Arial" w:eastAsia="Arial" w:hAnsi="Arial"/>
          <w:b/>
          <w:bCs/>
          <w:color w:val="4A4A4A"/>
          <w:sz w:val="22"/>
          <w:szCs w:val="22"/>
        </w:rPr>
        <w:t xml:space="preserve">Neutral Witness Documentation — Record in Notebook</w:t>
      </w:r>
    </w:p>
    <w:p>
      <w:pPr>
        <w:pStyle w:val="ListParagraph"/>
        <w:numPr>
          <w:ilvl w:val="0"/>
          <w:numId w:val="2"/>
        </w:numPr>
        <w:spacing w:after="60" w:before="60"/>
      </w:pPr>
      <w:r>
        <w:rPr>
          <w:rFonts w:ascii="Arial" w:cs="Arial" w:eastAsia="Arial" w:hAnsi="Arial"/>
          <w:color w:val="1A1A1A"/>
          <w:sz w:val="22"/>
          <w:szCs w:val="22"/>
        </w:rPr>
        <w:t xml:space="preserve">Full name of Neutral Witness</w:t>
      </w:r>
    </w:p>
    <w:p>
      <w:pPr>
        <w:pStyle w:val="ListParagraph"/>
        <w:numPr>
          <w:ilvl w:val="0"/>
          <w:numId w:val="2"/>
        </w:numPr>
        <w:spacing w:after="60" w:before="60"/>
      </w:pPr>
      <w:r>
        <w:rPr>
          <w:rFonts w:ascii="Arial" w:cs="Arial" w:eastAsia="Arial" w:hAnsi="Arial"/>
          <w:color w:val="1A1A1A"/>
          <w:sz w:val="22"/>
          <w:szCs w:val="22"/>
        </w:rPr>
        <w:t xml:space="preserve">Relevant technical qualifications or background</w:t>
      </w:r>
    </w:p>
    <w:p>
      <w:pPr>
        <w:pStyle w:val="ListParagraph"/>
        <w:numPr>
          <w:ilvl w:val="0"/>
          <w:numId w:val="2"/>
        </w:numPr>
        <w:spacing w:after="60" w:before="60"/>
      </w:pPr>
      <w:r>
        <w:rPr>
          <w:rFonts w:ascii="Arial" w:cs="Arial" w:eastAsia="Arial" w:hAnsi="Arial"/>
          <w:color w:val="1A1A1A"/>
          <w:sz w:val="22"/>
          <w:szCs w:val="22"/>
        </w:rPr>
        <w:t xml:space="preserve">Specific basis for independence from researcher, equipment, and outcome</w:t>
      </w:r>
    </w:p>
    <w:p>
      <w:pPr>
        <w:pStyle w:val="ListParagraph"/>
        <w:numPr>
          <w:ilvl w:val="0"/>
          <w:numId w:val="2"/>
        </w:numPr>
        <w:spacing w:after="60" w:before="60"/>
      </w:pPr>
      <w:r>
        <w:rPr>
          <w:rFonts w:ascii="Arial" w:cs="Arial" w:eastAsia="Arial" w:hAnsi="Arial"/>
          <w:color w:val="1A1A1A"/>
          <w:sz w:val="22"/>
          <w:szCs w:val="22"/>
        </w:rPr>
        <w:t xml:space="preserve">Any relationship that exists and why it does not disqualify — documented honestly</w:t>
      </w:r>
    </w:p>
    <w:p>
      <w:pPr>
        <w:pBdr>
          <w:left w:val="single" w:color="8B4513" w:sz="18" w:space="8"/>
        </w:pBdr>
        <w:shd w:fill="F5ECD7" w:val="clear"/>
        <w:spacing w:after="160" w:before="160"/>
        <w:ind w:left="360"/>
      </w:pPr>
      <w:r>
        <w:rPr>
          <w:rFonts w:ascii="Arial" w:cs="Arial" w:eastAsia="Arial" w:hAnsi="Arial"/>
          <w:b/>
          <w:bCs/>
          <w:color w:val="8B4513"/>
          <w:sz w:val="20"/>
          <w:szCs w:val="20"/>
        </w:rPr>
        <w:t xml:space="preserve">⏱ TIMESTAMP REQUIRED  —  </w:t>
      </w:r>
      <w:r>
        <w:rPr>
          <w:rFonts w:ascii="Arial" w:cs="Arial" w:eastAsia="Arial" w:hAnsi="Arial"/>
          <w:i/>
          <w:iCs/>
          <w:color w:val="4A4A4A"/>
          <w:sz w:val="20"/>
          <w:szCs w:val="20"/>
        </w:rPr>
        <w:t xml:space="preserve">Neutral Witness confirms qualification, is physically present, and co-signs documentation before any research or experiment begins.</w:t>
      </w:r>
    </w:p>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Step 3 — Background Research and Literature Review</w:t>
      </w:r>
    </w:p>
    <w:p>
      <w:pPr>
        <w:spacing w:after="120" w:before="80"/>
      </w:pPr>
      <w:r>
        <w:rPr>
          <w:rFonts w:ascii="Arial" w:cs="Arial" w:eastAsia="Arial" w:hAnsi="Arial"/>
          <w:color w:val="1A1A1A"/>
          <w:sz w:val="22"/>
          <w:szCs w:val="22"/>
        </w:rPr>
        <w:t xml:space="preserve">The following is the verified Source Verification Log for TTC-NS-002. Sources marked (*) are required reading before running this protocol. All are publicly accessible. NOTE: The Touch a Tree video transcript that generated this protocol is a secondary synthesis. It correctly characterizes the Li et al. findings but is not a primary source and cannot be cited as one.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Cat</w:t>
            </w:r>
          </w:p>
        </w:tc>
        <w:tc>
          <w:tcPr>
            <w:tcW w:type="dxa" w:w="888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Source Verification Log — What the Evidence Actually Shows</w:t>
            </w:r>
          </w:p>
        </w:tc>
      </w:tr>
      <w:tr>
        <w:tc>
          <w:tcPr>
            <w:tcW w:type="dxa" w:w="480"/>
            <w:tcBorders>
              <w:top w:val="single" w:color="C8A96E" w:sz="1"/>
              <w:left w:val="single" w:color="C8A96E" w:sz="1"/>
              <w:bottom w:val="single" w:color="C8A96E" w:sz="1"/>
              <w:right w:val="single" w:color="C8A96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A</w:t>
            </w:r>
          </w:p>
        </w:tc>
        <w:tc>
          <w:tcPr>
            <w:tcW w:type="dxa" w:w="888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pPr>
              <w:spacing w:after="60" w:before="0"/>
            </w:pPr>
            <w:r>
              <w:rPr>
                <w:rFonts w:ascii="Arial" w:cs="Arial" w:eastAsia="Arial" w:hAnsi="Arial"/>
                <w:b/>
                <w:bCs/>
                <w:color w:val="1A1A1A"/>
                <w:sz w:val="20"/>
                <w:szCs w:val="20"/>
              </w:rPr>
              <w:t xml:space="preserve">Li, Q. et al. (2009). Effect of phytoncide from trees on human natural killer cell function.</w:t>
            </w:r>
          </w:p>
          <w:p>
            <w:pPr>
              <w:spacing w:after="60" w:before="0"/>
            </w:pPr>
            <w:r>
              <w:rPr>
                <w:rFonts w:ascii="Arial" w:cs="Arial" w:eastAsia="Arial" w:hAnsi="Arial"/>
                <w:color w:val="1A1A1A"/>
                <w:sz w:val="20"/>
                <w:szCs w:val="20"/>
              </w:rPr>
              <w:t xml:space="preserve">12 healthy male subjects stayed in a Tokyo hotel for 3 nights. Hinoki cypress oil vaporized in rooms via humidifier. Phytoncide exposure significantly increased NK activity, NK cell counts, perforin, granulysin, and granzyme A/B-expressing cells. Adrenaline and noradrenaline in urine significantly decreased. Key: isolated phytoncides as the mechanism — no forest, no exercise, just airborne molecules. NK effect lasted 7+ days.</w:t>
            </w:r>
          </w:p>
          <w:p>
            <w:pPr>
              <w:spacing w:after="0" w:before="0"/>
            </w:pPr>
            <w:r>
              <w:rPr>
                <w:rFonts w:ascii="Arial" w:cs="Arial" w:eastAsia="Arial" w:hAnsi="Arial"/>
                <w:i/>
                <w:iCs/>
                <w:color w:val="4A4A4A"/>
                <w:sz w:val="18"/>
                <w:szCs w:val="18"/>
              </w:rPr>
              <w:t xml:space="preserve">International Journal of Immunopathology and Pharmacology, 22(4):951–9. PMID: 20074458.</w:t>
            </w:r>
          </w:p>
        </w:tc>
      </w:tr>
      <w:tr>
        <w:tc>
          <w:tcPr>
            <w:tcW w:type="dxa" w:w="480"/>
            <w:tcBorders>
              <w:top w:val="single" w:color="C8A96E" w:sz="1"/>
              <w:left w:val="single" w:color="C8A96E" w:sz="1"/>
              <w:bottom w:val="single" w:color="C8A96E" w:sz="1"/>
              <w:right w:val="single" w:color="C8A96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A</w:t>
            </w:r>
          </w:p>
        </w:tc>
        <w:tc>
          <w:tcPr>
            <w:tcW w:type="dxa" w:w="888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pPr>
              <w:spacing w:after="60" w:before="0"/>
            </w:pPr>
            <w:r>
              <w:rPr>
                <w:rFonts w:ascii="Arial" w:cs="Arial" w:eastAsia="Arial" w:hAnsi="Arial"/>
                <w:b/>
                <w:bCs/>
                <w:color w:val="1A1A1A"/>
                <w:sz w:val="20"/>
                <w:szCs w:val="20"/>
              </w:rPr>
              <w:t xml:space="preserve">Li, Q. et al. (2008). Visiting a forest, but not a city, increases human natural killer activity.</w:t>
            </w:r>
          </w:p>
          <w:p>
            <w:pPr>
              <w:spacing w:after="60" w:before="0"/>
            </w:pPr>
            <w:r>
              <w:rPr>
                <w:rFonts w:ascii="Arial" w:cs="Arial" w:eastAsia="Arial" w:hAnsi="Arial"/>
                <w:color w:val="1A1A1A"/>
                <w:sz w:val="20"/>
                <w:szCs w:val="20"/>
              </w:rPr>
              <w:t xml:space="preserve">12 healthy males completed matched 3-day trips to forest and city with equal activity levels. Forest trip increased NK activity lasting 7+ days. City trip produced no NK increase, no adrenaline decrease. Phytoncides detected in forest air, essentially absent in city air. This is the controlled comparison the citizen science protocol mirrors.</w:t>
            </w:r>
          </w:p>
          <w:p>
            <w:pPr>
              <w:spacing w:after="0" w:before="0"/>
            </w:pPr>
            <w:r>
              <w:rPr>
                <w:rFonts w:ascii="Arial" w:cs="Arial" w:eastAsia="Arial" w:hAnsi="Arial"/>
                <w:i/>
                <w:iCs/>
                <w:color w:val="4A4A4A"/>
                <w:sz w:val="18"/>
                <w:szCs w:val="18"/>
              </w:rPr>
              <w:t xml:space="preserve">International Journal of Immunopathology and Pharmacology, 21(1):117–127. PMID: 18336737.</w:t>
            </w:r>
          </w:p>
        </w:tc>
      </w:tr>
      <w:tr>
        <w:tc>
          <w:tcPr>
            <w:tcW w:type="dxa" w:w="480"/>
            <w:tcBorders>
              <w:top w:val="single" w:color="C8A96E" w:sz="1"/>
              <w:left w:val="single" w:color="C8A96E" w:sz="1"/>
              <w:bottom w:val="single" w:color="C8A96E" w:sz="1"/>
              <w:right w:val="single" w:color="C8A96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A</w:t>
            </w:r>
          </w:p>
        </w:tc>
        <w:tc>
          <w:tcPr>
            <w:tcW w:type="dxa" w:w="888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pPr>
              <w:spacing w:after="60" w:before="0"/>
            </w:pPr>
            <w:r>
              <w:rPr>
                <w:rFonts w:ascii="Arial" w:cs="Arial" w:eastAsia="Arial" w:hAnsi="Arial"/>
                <w:b/>
                <w:bCs/>
                <w:color w:val="1A1A1A"/>
                <w:sz w:val="20"/>
                <w:szCs w:val="20"/>
              </w:rPr>
              <w:t xml:space="preserve">Li, Q. et al. (2007). Forest bathing enhances human natural killer activity and expression of anti-cancer proteins.</w:t>
            </w:r>
          </w:p>
          <w:p>
            <w:pPr>
              <w:spacing w:after="60" w:before="0"/>
            </w:pPr>
            <w:r>
              <w:rPr>
                <w:rFonts w:ascii="Arial" w:cs="Arial" w:eastAsia="Arial" w:hAnsi="Arial"/>
                <w:color w:val="1A1A1A"/>
                <w:sz w:val="20"/>
                <w:szCs w:val="20"/>
              </w:rPr>
              <w:t xml:space="preserve">Original male cohort study (n=12). 3-day forest trip elevated NK activity and anti-cancer protein expression. Established the 7-day persistence finding replicated in subsequent studies.</w:t>
            </w:r>
          </w:p>
          <w:p>
            <w:pPr>
              <w:spacing w:after="0" w:before="0"/>
            </w:pPr>
            <w:r>
              <w:rPr>
                <w:rFonts w:ascii="Arial" w:cs="Arial" w:eastAsia="Arial" w:hAnsi="Arial"/>
                <w:i/>
                <w:iCs/>
                <w:color w:val="4A4A4A"/>
                <w:sz w:val="18"/>
                <w:szCs w:val="18"/>
              </w:rPr>
              <w:t xml:space="preserve">Scandinavian Journal of Forest Research, 22(5):402–408. PMID: 17903349.</w:t>
            </w:r>
          </w:p>
        </w:tc>
      </w:tr>
      <w:tr>
        <w:tc>
          <w:tcPr>
            <w:tcW w:type="dxa" w:w="480"/>
            <w:tcBorders>
              <w:top w:val="single" w:color="C8A96E" w:sz="1"/>
              <w:left w:val="single" w:color="C8A96E" w:sz="1"/>
              <w:bottom w:val="single" w:color="C8A96E" w:sz="1"/>
              <w:right w:val="single" w:color="C8A96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A</w:t>
            </w:r>
          </w:p>
        </w:tc>
        <w:tc>
          <w:tcPr>
            <w:tcW w:type="dxa" w:w="888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pPr>
              <w:spacing w:after="60" w:before="0"/>
            </w:pPr>
            <w:r>
              <w:rPr>
                <w:rFonts w:ascii="Arial" w:cs="Arial" w:eastAsia="Arial" w:hAnsi="Arial"/>
                <w:b/>
                <w:bCs/>
                <w:color w:val="1A1A1A"/>
                <w:sz w:val="20"/>
                <w:szCs w:val="20"/>
              </w:rPr>
              <w:t xml:space="preserve">2024 Meta-analysis. Phytoncides and immunity: systematic review and meta-analysis.</w:t>
            </w:r>
          </w:p>
          <w:p>
            <w:pPr>
              <w:spacing w:after="60" w:before="0"/>
            </w:pPr>
            <w:r>
              <w:rPr>
                <w:rFonts w:ascii="Arial" w:cs="Arial" w:eastAsia="Arial" w:hAnsi="Arial"/>
                <w:color w:val="1A1A1A"/>
                <w:sz w:val="20"/>
                <w:szCs w:val="20"/>
              </w:rPr>
              <w:t xml:space="preserve">First meta-analysis of immunological effects of phytoncide exposure. Significant NK cell activation confirmed: Effect Size 2.50 (95% CI 1.94–3.05, p&lt;0.05, I²=50.47%). Calls for randomized controlled trials using specific phytoncides in clinical settings.</w:t>
            </w:r>
          </w:p>
          <w:p>
            <w:pPr>
              <w:spacing w:after="0" w:before="0"/>
            </w:pPr>
            <w:r>
              <w:rPr>
                <w:rFonts w:ascii="Arial" w:cs="Arial" w:eastAsia="Arial" w:hAnsi="Arial"/>
                <w:i/>
                <w:iCs/>
                <w:color w:val="4A4A4A"/>
                <w:sz w:val="18"/>
                <w:szCs w:val="18"/>
              </w:rPr>
              <w:t xml:space="preserve">ScienceDirect, 2024.</w:t>
            </w:r>
          </w:p>
        </w:tc>
      </w:tr>
      <w:tr>
        <w:tc>
          <w:tcPr>
            <w:tcW w:type="dxa" w:w="480"/>
            <w:tcBorders>
              <w:top w:val="single" w:color="C8A96E" w:sz="1"/>
              <w:left w:val="single" w:color="C8A96E" w:sz="1"/>
              <w:bottom w:val="single" w:color="C8A96E" w:sz="1"/>
              <w:right w:val="single" w:color="C8A96E" w:sz="1"/>
            </w:tcBorders>
            <w:shd w:fill="B8860B" w:val="clear"/>
            <w:tcMar>
              <w:top w:type="dxa" w:w="80"/>
              <w:left w:type="dxa" w:w="120"/>
              <w:bottom w:type="dxa" w:w="80"/>
              <w:right w:type="dxa" w:w="120"/>
            </w:tcMar>
          </w:tcPr>
          <w:p>
            <w:r>
              <w:rPr>
                <w:rFonts w:ascii="Arial" w:cs="Arial" w:eastAsia="Arial" w:hAnsi="Arial"/>
                <w:b/>
                <w:bCs/>
                <w:color w:val="FFFFFF"/>
                <w:sz w:val="20"/>
                <w:szCs w:val="20"/>
              </w:rPr>
              <w:t xml:space="preserve">B</w:t>
            </w:r>
          </w:p>
        </w:tc>
        <w:tc>
          <w:tcPr>
            <w:tcW w:type="dxa" w:w="888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pPr>
              <w:spacing w:after="60" w:before="0"/>
            </w:pPr>
            <w:r>
              <w:rPr>
                <w:rFonts w:ascii="Arial" w:cs="Arial" w:eastAsia="Arial" w:hAnsi="Arial"/>
                <w:b/>
                <w:bCs/>
                <w:color w:val="1A1A1A"/>
                <w:sz w:val="20"/>
                <w:szCs w:val="20"/>
              </w:rPr>
              <w:t xml:space="preserve">Chevalier, G. et al. (2013). Earthing the human body reduces blood viscosity.</w:t>
            </w:r>
          </w:p>
          <w:p>
            <w:pPr>
              <w:spacing w:after="60" w:before="0"/>
            </w:pPr>
            <w:r>
              <w:rPr>
                <w:rFonts w:ascii="Arial" w:cs="Arial" w:eastAsia="Arial" w:hAnsi="Arial"/>
                <w:color w:val="1A1A1A"/>
                <w:sz w:val="20"/>
                <w:szCs w:val="20"/>
              </w:rPr>
              <w:t xml:space="preserve">10 healthy subjects grounded via conductive patches connected to outdoor ground rod for 2 hours. Zeta potential of red blood cells increased by average 2.70-fold. RBC aggregation significantly reduced. Limitation: n=10, pilot study. Grounding patches — not tree contact — were the mechanism. Tree-as-grounded-conductor is physically plausible but not directly measured in this study.</w:t>
            </w:r>
          </w:p>
          <w:p>
            <w:pPr>
              <w:spacing w:after="0" w:before="0"/>
            </w:pPr>
            <w:r>
              <w:rPr>
                <w:rFonts w:ascii="Arial" w:cs="Arial" w:eastAsia="Arial" w:hAnsi="Arial"/>
                <w:i/>
                <w:iCs/>
                <w:color w:val="4A4A4A"/>
                <w:sz w:val="18"/>
                <w:szCs w:val="18"/>
              </w:rPr>
              <w:t xml:space="preserve">Journal of Alternative and Complementary Medicine, 19(2):102–110. PMC3576907.</w:t>
            </w:r>
          </w:p>
        </w:tc>
      </w:tr>
      <w:tr>
        <w:tc>
          <w:tcPr>
            <w:tcW w:type="dxa" w:w="480"/>
            <w:tcBorders>
              <w:top w:val="single" w:color="C8A96E" w:sz="1"/>
              <w:left w:val="single" w:color="C8A96E" w:sz="1"/>
              <w:bottom w:val="single" w:color="C8A96E" w:sz="1"/>
              <w:right w:val="single" w:color="C8A96E" w:sz="1"/>
            </w:tcBorders>
            <w:shd w:fill="B8860B" w:val="clear"/>
            <w:tcMar>
              <w:top w:type="dxa" w:w="80"/>
              <w:left w:type="dxa" w:w="120"/>
              <w:bottom w:type="dxa" w:w="80"/>
              <w:right w:type="dxa" w:w="120"/>
            </w:tcMar>
          </w:tcPr>
          <w:p>
            <w:r>
              <w:rPr>
                <w:rFonts w:ascii="Arial" w:cs="Arial" w:eastAsia="Arial" w:hAnsi="Arial"/>
                <w:b/>
                <w:bCs/>
                <w:color w:val="FFFFFF"/>
                <w:sz w:val="20"/>
                <w:szCs w:val="20"/>
              </w:rPr>
              <w:t xml:space="preserve">B</w:t>
            </w:r>
          </w:p>
        </w:tc>
        <w:tc>
          <w:tcPr>
            <w:tcW w:type="dxa" w:w="888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pPr>
              <w:spacing w:after="60" w:before="0"/>
            </w:pPr>
            <w:r>
              <w:rPr>
                <w:rFonts w:ascii="Arial" w:cs="Arial" w:eastAsia="Arial" w:hAnsi="Arial"/>
                <w:b/>
                <w:bCs/>
                <w:color w:val="1A1A1A"/>
                <w:sz w:val="20"/>
                <w:szCs w:val="20"/>
              </w:rPr>
              <w:t xml:space="preserve">Simard, S.W. et al. (1997). Net transfer of carbon between ectomycorrhizal tree species in the field.</w:t>
            </w:r>
          </w:p>
          <w:p>
            <w:pPr>
              <w:spacing w:after="60" w:before="0"/>
            </w:pPr>
            <w:r>
              <w:rPr>
                <w:rFonts w:ascii="Arial" w:cs="Arial" w:eastAsia="Arial" w:hAnsi="Arial"/>
                <w:color w:val="1A1A1A"/>
                <w:sz w:val="20"/>
                <w:szCs w:val="20"/>
              </w:rPr>
              <w:t xml:space="preserve">Reciprocal isotope labelling demonstrated bidirectional carbon transfer between birch and Douglas fir through shared mycorrhizal fungi. Published in Nature. Core finding: trees are connected underground. Chemical signals, carbon, and nutrients move through the network. 2023 critical review noted the ecological significance of CMN vs. soil pathways remains debated. Core finding of network existence and carbon transfer is solid.</w:t>
            </w:r>
          </w:p>
          <w:p>
            <w:pPr>
              <w:spacing w:after="0" w:before="0"/>
            </w:pPr>
            <w:r>
              <w:rPr>
                <w:rFonts w:ascii="Arial" w:cs="Arial" w:eastAsia="Arial" w:hAnsi="Arial"/>
                <w:i/>
                <w:iCs/>
                <w:color w:val="4A4A4A"/>
                <w:sz w:val="18"/>
                <w:szCs w:val="18"/>
              </w:rPr>
              <w:t xml:space="preserve">Nature, 388:579–582. DOI: 10.1038/41557.</w:t>
            </w:r>
          </w:p>
        </w:tc>
      </w:tr>
      <w:tr>
        <w:tc>
          <w:tcPr>
            <w:tcW w:type="dxa" w:w="480"/>
            <w:tcBorders>
              <w:top w:val="single" w:color="C8A96E" w:sz="1"/>
              <w:left w:val="single" w:color="C8A96E" w:sz="1"/>
              <w:bottom w:val="single" w:color="C8A96E" w:sz="1"/>
              <w:right w:val="single" w:color="C8A96E" w:sz="1"/>
            </w:tcBorders>
            <w:shd w:fill="757575" w:val="clear"/>
            <w:tcMar>
              <w:top w:type="dxa" w:w="80"/>
              <w:left w:type="dxa" w:w="120"/>
              <w:bottom w:type="dxa" w:w="80"/>
              <w:right w:type="dxa" w:w="120"/>
            </w:tcMar>
          </w:tcPr>
          <w:p>
            <w:r>
              <w:rPr>
                <w:rFonts w:ascii="Arial" w:cs="Arial" w:eastAsia="Arial" w:hAnsi="Arial"/>
                <w:b/>
                <w:bCs/>
                <w:color w:val="FFFFFF"/>
                <w:sz w:val="20"/>
                <w:szCs w:val="20"/>
              </w:rPr>
              <w:t xml:space="preserve">D</w:t>
            </w:r>
          </w:p>
        </w:tc>
        <w:tc>
          <w:tcPr>
            <w:tcW w:type="dxa" w:w="888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pPr>
              <w:spacing w:after="60" w:before="0"/>
            </w:pPr>
            <w:r>
              <w:rPr>
                <w:rFonts w:ascii="Arial" w:cs="Arial" w:eastAsia="Arial" w:hAnsi="Arial"/>
                <w:b/>
                <w:bCs/>
                <w:color w:val="1A1A1A"/>
                <w:sz w:val="20"/>
                <w:szCs w:val="20"/>
              </w:rPr>
              <w:t xml:space="preserve">Gap: At-home CBC proxy vs. direct clinical NK cell assay.</w:t>
            </w:r>
          </w:p>
          <w:p>
            <w:pPr>
              <w:spacing w:after="60" w:before="0"/>
            </w:pPr>
            <w:r>
              <w:rPr>
                <w:rFonts w:ascii="Arial" w:cs="Arial" w:eastAsia="Arial" w:hAnsi="Arial"/>
                <w:color w:val="1A1A1A"/>
                <w:sz w:val="20"/>
                <w:szCs w:val="20"/>
              </w:rPr>
              <w:t xml:space="preserve">Li’s studies used flow cytometry and chromium release assays — clinical instruments unavailable to citizen scientists. No validated protocol exists for correlating CBC proxy markers to clinical NK assay for this specific phytoncide application. TTC-NS-002 Tier 1 uses proxies with this limitation explicitly documented. Tier 2 (TTC-NS-003) requires clinical partnership to close this gap.</w:t>
            </w:r>
          </w:p>
          <w:p>
            <w:pPr>
              <w:spacing w:after="0" w:before="0"/>
            </w:pPr>
            <w:r>
              <w:rPr>
                <w:rFonts w:ascii="Arial" w:cs="Arial" w:eastAsia="Arial" w:hAnsi="Arial"/>
                <w:i/>
                <w:iCs/>
                <w:color w:val="4A4A4A"/>
                <w:sz w:val="18"/>
                <w:szCs w:val="18"/>
              </w:rPr>
              <w:t xml:space="preserve">Gap identified April 2026.</w:t>
            </w:r>
          </w:p>
        </w:tc>
      </w:tr>
      <w:tr>
        <w:tc>
          <w:tcPr>
            <w:tcW w:type="dxa" w:w="480"/>
            <w:tcBorders>
              <w:top w:val="single" w:color="C8A96E" w:sz="1"/>
              <w:left w:val="single" w:color="C8A96E" w:sz="1"/>
              <w:bottom w:val="single" w:color="C8A96E" w:sz="1"/>
              <w:right w:val="single" w:color="C8A96E" w:sz="1"/>
            </w:tcBorders>
            <w:shd w:fill="757575" w:val="clear"/>
            <w:tcMar>
              <w:top w:type="dxa" w:w="80"/>
              <w:left w:type="dxa" w:w="120"/>
              <w:bottom w:type="dxa" w:w="80"/>
              <w:right w:type="dxa" w:w="120"/>
            </w:tcMar>
          </w:tcPr>
          <w:p>
            <w:r>
              <w:rPr>
                <w:rFonts w:ascii="Arial" w:cs="Arial" w:eastAsia="Arial" w:hAnsi="Arial"/>
                <w:b/>
                <w:bCs/>
                <w:color w:val="FFFFFF"/>
                <w:sz w:val="20"/>
                <w:szCs w:val="20"/>
              </w:rPr>
              <w:t xml:space="preserve">D</w:t>
            </w:r>
          </w:p>
        </w:tc>
        <w:tc>
          <w:tcPr>
            <w:tcW w:type="dxa" w:w="888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pPr>
              <w:spacing w:after="60" w:before="0"/>
            </w:pPr>
            <w:r>
              <w:rPr>
                <w:rFonts w:ascii="Arial" w:cs="Arial" w:eastAsia="Arial" w:hAnsi="Arial"/>
                <w:b/>
                <w:bCs/>
                <w:color w:val="1A1A1A"/>
                <w:sz w:val="20"/>
                <w:szCs w:val="20"/>
              </w:rPr>
              <w:t xml:space="preserve">Gap: Phytoncide concentration not directly measured in citizen science sessions.</w:t>
            </w:r>
          </w:p>
          <w:p>
            <w:pPr>
              <w:spacing w:after="60" w:before="0"/>
            </w:pPr>
            <w:r>
              <w:rPr>
                <w:rFonts w:ascii="Arial" w:cs="Arial" w:eastAsia="Arial" w:hAnsi="Arial"/>
                <w:color w:val="1A1A1A"/>
                <w:sz w:val="20"/>
                <w:szCs w:val="20"/>
              </w:rPr>
              <w:t xml:space="preserve">Li’s studies measured phytoncide concentrations in air samples using analytical chemistry instruments (GC-MS). TTC-NS-002 does not measure phytoncide concentration — it assumes forest air contains phytoncides based on species presence. Environmental variables (temperature, humidity, season, species) are documented as proxies for concentration. This is a known limitation.</w:t>
            </w:r>
          </w:p>
          <w:p>
            <w:pPr>
              <w:spacing w:after="0" w:before="0"/>
            </w:pPr>
            <w:r>
              <w:rPr>
                <w:rFonts w:ascii="Arial" w:cs="Arial" w:eastAsia="Arial" w:hAnsi="Arial"/>
                <w:i/>
                <w:iCs/>
                <w:color w:val="4A4A4A"/>
                <w:sz w:val="18"/>
                <w:szCs w:val="18"/>
              </w:rPr>
              <w:t xml:space="preserve">Gap identified April 2026.</w:t>
            </w:r>
          </w:p>
        </w:tc>
      </w:tr>
      <w:tr>
        <w:tc>
          <w:tcPr>
            <w:tcW w:type="dxa" w:w="480"/>
            <w:tcBorders>
              <w:top w:val="single" w:color="C8A96E" w:sz="1"/>
              <w:left w:val="single" w:color="C8A96E" w:sz="1"/>
              <w:bottom w:val="single" w:color="C8A96E" w:sz="1"/>
              <w:right w:val="single" w:color="C8A96E" w:sz="1"/>
            </w:tcBorders>
            <w:shd w:fill="2A3A4A" w:val="clear"/>
            <w:tcMar>
              <w:top w:type="dxa" w:w="80"/>
              <w:left w:type="dxa" w:w="120"/>
              <w:bottom w:type="dxa" w:w="80"/>
              <w:right w:type="dxa" w:w="120"/>
            </w:tcMar>
          </w:tcPr>
          <w:p>
            <w:r>
              <w:rPr>
                <w:rFonts w:ascii="Arial" w:cs="Arial" w:eastAsia="Arial" w:hAnsi="Arial"/>
                <w:b/>
                <w:bCs/>
                <w:color w:val="FFFFFF"/>
                <w:sz w:val="20"/>
                <w:szCs w:val="20"/>
              </w:rPr>
              <w:t xml:space="preserve">E</w:t>
            </w:r>
          </w:p>
        </w:tc>
        <w:tc>
          <w:tcPr>
            <w:tcW w:type="dxa" w:w="888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pPr>
              <w:spacing w:after="60" w:before="0"/>
            </w:pPr>
            <w:r>
              <w:rPr>
                <w:rFonts w:ascii="Arial" w:cs="Arial" w:eastAsia="Arial" w:hAnsi="Arial"/>
                <w:b/>
                <w:bCs/>
                <w:color w:val="1A1A1A"/>
                <w:sz w:val="20"/>
                <w:szCs w:val="20"/>
              </w:rPr>
              <w:t xml:space="preserve">Bristlecone pine telomerase claim in the Touch a Tree transcript.</w:t>
            </w:r>
          </w:p>
          <w:p>
            <w:pPr>
              <w:spacing w:after="60" w:before="0"/>
            </w:pPr>
            <w:r>
              <w:rPr>
                <w:rFonts w:ascii="Arial" w:cs="Arial" w:eastAsia="Arial" w:hAnsi="Arial"/>
                <w:color w:val="1A1A1A"/>
                <w:sz w:val="20"/>
                <w:szCs w:val="20"/>
              </w:rPr>
              <w:t xml:space="preserve">The transcript asserts that telomerase activity is higher in older bristlecone pines than in young ones. No primary study was located to verify this specific claim. It is held at Category D (unverified gap) until the primary source is identified. It does not appear in this protocol's literature review and should not be cited as evidence without primary source verification.</w:t>
            </w:r>
          </w:p>
          <w:p>
            <w:pPr>
              <w:spacing w:after="0" w:before="0"/>
            </w:pPr>
            <w:r>
              <w:rPr>
                <w:rFonts w:ascii="Arial" w:cs="Arial" w:eastAsia="Arial" w:hAnsi="Arial"/>
                <w:i/>
                <w:iCs/>
                <w:color w:val="4A4A4A"/>
                <w:sz w:val="18"/>
                <w:szCs w:val="18"/>
              </w:rPr>
              <w:t xml:space="preserve">Source Verification: Category D pending. Do not cite until primary study is located.</w:t>
            </w:r>
          </w:p>
        </w:tc>
      </w:tr>
      <w:tr>
        <w:tc>
          <w:tcPr>
            <w:tcW w:type="dxa" w:w="480"/>
            <w:tcBorders>
              <w:top w:val="single" w:color="C8A96E" w:sz="1"/>
              <w:left w:val="single" w:color="C8A96E" w:sz="1"/>
              <w:bottom w:val="single" w:color="C8A96E" w:sz="1"/>
              <w:right w:val="single" w:color="C8A96E" w:sz="1"/>
            </w:tcBorders>
            <w:shd w:fill="2A3A4A" w:val="clear"/>
            <w:tcMar>
              <w:top w:type="dxa" w:w="80"/>
              <w:left w:type="dxa" w:w="120"/>
              <w:bottom w:type="dxa" w:w="80"/>
              <w:right w:type="dxa" w:w="120"/>
            </w:tcMar>
          </w:tcPr>
          <w:p>
            <w:r>
              <w:rPr>
                <w:rFonts w:ascii="Arial" w:cs="Arial" w:eastAsia="Arial" w:hAnsi="Arial"/>
                <w:b/>
                <w:bCs/>
                <w:color w:val="FFFFFF"/>
                <w:sz w:val="20"/>
                <w:szCs w:val="20"/>
              </w:rPr>
              <w:t xml:space="preserve">E</w:t>
            </w:r>
          </w:p>
        </w:tc>
        <w:tc>
          <w:tcPr>
            <w:tcW w:type="dxa" w:w="888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pPr>
              <w:spacing w:after="60" w:before="0"/>
            </w:pPr>
            <w:r>
              <w:rPr>
                <w:rFonts w:ascii="Arial" w:cs="Arial" w:eastAsia="Arial" w:hAnsi="Arial"/>
                <w:b/>
                <w:bCs/>
                <w:color w:val="1A1A1A"/>
                <w:sz w:val="20"/>
                <w:szCs w:val="20"/>
              </w:rPr>
              <w:t xml:space="preserve">UTT Inference: Forest as calibrated biological environment.</w:t>
            </w:r>
          </w:p>
          <w:p>
            <w:pPr>
              <w:spacing w:after="60" w:before="0"/>
            </w:pPr>
            <w:r>
              <w:rPr>
                <w:rFonts w:ascii="Arial" w:cs="Arial" w:eastAsia="Arial" w:hAnsi="Arial"/>
                <w:color w:val="1A1A1A"/>
                <w:sz w:val="20"/>
                <w:szCs w:val="20"/>
              </w:rPr>
              <w:t xml:space="preserve">The conductive fabric thesis (UTT Chapter 1 Section C) holds that terrain is the electromagnetic and chemical environment the human body was calibrated to operate within. The phytoncide immune evidence and the grounding cardiovascular evidence, taken together, are consistent with this thesis. This is a Category E forensic inference — two Category A/B streams pointing in the same direction, not yet unified in a single experiment.</w:t>
            </w:r>
          </w:p>
          <w:p>
            <w:pPr>
              <w:spacing w:after="0" w:before="0"/>
            </w:pPr>
            <w:r>
              <w:rPr>
                <w:rFonts w:ascii="Arial" w:cs="Arial" w:eastAsia="Arial" w:hAnsi="Arial"/>
                <w:i/>
                <w:iCs/>
                <w:color w:val="4A4A4A"/>
                <w:sz w:val="18"/>
                <w:szCs w:val="18"/>
              </w:rPr>
              <w:t xml:space="preserve">UTT Source Verification Log, April 2026.</w:t>
            </w:r>
          </w:p>
        </w:tc>
      </w:tr>
    </w:tbl>
    <w:p>
      <w:pPr>
        <w:spacing w:after="0" w:before="240"/>
      </w:pPr>
      <w:r>
        <w:t xml:space="preserve"/>
      </w:r>
    </w:p>
    <w:p>
      <w:pPr>
        <w:pStyle w:val="Heading3"/>
        <w:spacing w:after="80" w:before="240"/>
      </w:pPr>
      <w:r>
        <w:rPr>
          <w:rFonts w:ascii="Arial" w:cs="Arial" w:eastAsia="Arial" w:hAnsi="Arial"/>
          <w:b/>
          <w:bCs/>
          <w:color w:val="4A4A4A"/>
          <w:sz w:val="22"/>
          <w:szCs w:val="22"/>
        </w:rPr>
        <w:t xml:space="preserve">Current Scientific Belief Position</w:t>
      </w:r>
    </w:p>
    <w:p>
      <w:pPr>
        <w:spacing w:after="120" w:before="80"/>
      </w:pPr>
      <w:r>
        <w:rPr>
          <w:rFonts w:ascii="Arial" w:cs="Arial" w:eastAsia="Arial" w:hAnsi="Arial"/>
          <w:color w:val="1A1A1A"/>
          <w:sz w:val="22"/>
          <w:szCs w:val="22"/>
        </w:rPr>
        <w:t xml:space="preserve">Forest bathing (Shinrin-yoku) is recognized in Japan as a legitimate health intervention with an established research literature. In the United States and Europe, the mainstream medical position acknowledges measurable physiological benefits from forest exposure. Li et al.’s NK cell studies are published in peer-reviewed journals indexed on PubMed. They have not yet been replicated outside Li’s group at the scale required for clinical guideline adoption. The 2024 meta-analysis moves the evidence base toward Category A, but calls explicitly for randomized controlled trials. TTC-NS-002 is a step in that replication ladder.</w:t>
      </w:r>
    </w:p>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Step 4 — Hypothesis</w:t>
      </w:r>
    </w:p>
    <w:p>
      <w:pPr>
        <w:pStyle w:val="Heading3"/>
        <w:spacing w:after="80" w:before="240"/>
      </w:pPr>
      <w:r>
        <w:rPr>
          <w:rFonts w:ascii="Arial" w:cs="Arial" w:eastAsia="Arial" w:hAnsi="Arial"/>
          <w:b/>
          <w:bCs/>
          <w:color w:val="4A4A4A"/>
          <w:sz w:val="22"/>
          <w:szCs w:val="22"/>
        </w:rPr>
        <w:t xml:space="preserve">Primary Hypothesis</w:t>
      </w:r>
    </w:p>
    <w:p>
      <w:pPr>
        <w:pBdr>
          <w:left w:val="single" w:color="8B4513" w:sz="14" w:space="14"/>
        </w:pBdr>
        <w:spacing w:after="160" w:before="160"/>
        <w:ind w:left="720" w:right="360"/>
      </w:pPr>
      <w:r>
        <w:rPr>
          <w:rFonts w:ascii="Arial" w:cs="Arial" w:eastAsia="Arial" w:hAnsi="Arial"/>
          <w:i/>
          <w:iCs/>
          <w:color w:val="4A4A4A"/>
          <w:sz w:val="22"/>
          <w:szCs w:val="22"/>
        </w:rPr>
        <w:t xml:space="preserve">A minimum two-hour session of direct physical contact with a living tree in a natural forest environment — standing, sitting, or resting with hands or body in contact with bark — will produce a measurable directional change in at-home immune proxy markers (CBC white blood cell count and differential) and body voltage readings compared to a matched indoor baseline session, with the immune marker change persisting at Day 7 measurement.</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Falsifiability Statement</w:t>
      </w:r>
    </w:p>
    <w:p>
      <w:pPr>
        <w:spacing w:after="120" w:before="80"/>
      </w:pPr>
      <w:r>
        <w:rPr>
          <w:rFonts w:ascii="Arial" w:cs="Arial" w:eastAsia="Arial" w:hAnsi="Arial"/>
          <w:color w:val="1A1A1A"/>
          <w:sz w:val="22"/>
          <w:szCs w:val="22"/>
        </w:rPr>
        <w:t xml:space="preserve">This hypothesis is false if: at-home immune proxy markers show no consistent directional difference between post-forest and indoor baseline conditions across three or more paired sessions by the same researcher, where the variation falls within normal laboratory range for the test used (typically ±10% for CBC). This does not falsify the phytoncide claim itself — it may falsify the claim that CBC proxies are sensitive enough to detect the effect. That distinction must be documented explicitly in Step 7.</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For Debunking Researchers</w:t>
      </w:r>
    </w:p>
    <w:p>
      <w:pPr>
        <w:spacing w:after="120" w:before="80"/>
      </w:pPr>
      <w:r>
        <w:rPr>
          <w:rFonts w:ascii="Arial" w:cs="Arial" w:eastAsia="Arial" w:hAnsi="Arial"/>
          <w:color w:val="1A1A1A"/>
          <w:sz w:val="22"/>
          <w:szCs w:val="22"/>
        </w:rPr>
        <w:t xml:space="preserve">Per ASM v1.2 Step 4: specify what evidence would show the claim is correct. What directional change, in which markers, sustained across how many sessions, would cause you to conclude that forest contact produces a real immune effect? Write the threshold in your notebook before the experiment begins. Hold yourself to it.</w:t>
      </w:r>
    </w:p>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Step 5 — Predictions Before the Experiment Runs</w:t>
      </w:r>
    </w:p>
    <w:p>
      <w:pPr>
        <w:spacing w:after="120" w:before="80"/>
      </w:pPr>
      <w:r>
        <w:rPr>
          <w:rFonts w:ascii="Arial" w:cs="Arial" w:eastAsia="Arial" w:hAnsi="Arial"/>
          <w:color w:val="1A1A1A"/>
          <w:sz w:val="22"/>
          <w:szCs w:val="22"/>
        </w:rPr>
        <w:t xml:space="preserve">Write both predictions in your bound notebook and timestamp them before any measurement begins. The Neutral Witness co-signs immediately.</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Prediction A — By Scientific Belief</w:t>
      </w:r>
    </w:p>
    <w:p>
      <w:pPr>
        <w:spacing w:after="120" w:before="80"/>
      </w:pPr>
      <w:r>
        <w:rPr>
          <w:rFonts w:ascii="Arial" w:cs="Arial" w:eastAsia="Arial" w:hAnsi="Arial"/>
          <w:color w:val="1A1A1A"/>
          <w:sz w:val="22"/>
          <w:szCs w:val="22"/>
        </w:rPr>
        <w:t xml:space="preserve">Based on Li et al. (2007, 2008, 2009) and the 2024 meta-analysis: forest exposure should produce a directional increase in immune activity markers, with effects persisting at Day 7. The consensus does not specify what CBC proxy markers will show — because that test was not used in the primary studies. Document the expected direction and the limitation of the proxy explicitly.</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Prediction B — By Your Hypothesis</w:t>
      </w:r>
    </w:p>
    <w:p>
      <w:pPr>
        <w:spacing w:after="120" w:before="80"/>
      </w:pPr>
      <w:r>
        <w:rPr>
          <w:rFonts w:ascii="Arial" w:cs="Arial" w:eastAsia="Arial" w:hAnsi="Arial"/>
          <w:color w:val="1A1A1A"/>
          <w:sz w:val="22"/>
          <w:szCs w:val="22"/>
        </w:rPr>
        <w:t xml:space="preserve">Write your specific prediction before the experiment runs: which immune marker, in which direction, by what percentage, sustained to Day 7? What body voltage reading at tree contact vs. indoor? Write the numbers. Hold them to the data. Keep Prediction A and B visually distinct on the page.</w:t>
      </w:r>
    </w:p>
    <w:p>
      <w:pPr>
        <w:pBdr>
          <w:left w:val="single" w:color="8B4513" w:sz="18" w:space="8"/>
        </w:pBdr>
        <w:shd w:fill="F5ECD7" w:val="clear"/>
        <w:spacing w:after="160" w:before="160"/>
        <w:ind w:left="360"/>
      </w:pPr>
      <w:r>
        <w:rPr>
          <w:rFonts w:ascii="Arial" w:cs="Arial" w:eastAsia="Arial" w:hAnsi="Arial"/>
          <w:b/>
          <w:bCs/>
          <w:color w:val="8B4513"/>
          <w:sz w:val="20"/>
          <w:szCs w:val="20"/>
        </w:rPr>
        <w:t xml:space="preserve">⏱ TIMESTAMP REQUIRED  —  </w:t>
      </w:r>
      <w:r>
        <w:rPr>
          <w:rFonts w:ascii="Arial" w:cs="Arial" w:eastAsia="Arial" w:hAnsi="Arial"/>
          <w:i/>
          <w:iCs/>
          <w:color w:val="4A4A4A"/>
          <w:sz w:val="20"/>
          <w:szCs w:val="20"/>
        </w:rPr>
        <w:t xml:space="preserve">Both predictions recorded and timestamped. Neutral Witness co-signs immediately before any measurement begins.</w:t>
      </w:r>
    </w:p>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Step 6 — The Experiment Protocol</w:t>
      </w:r>
    </w:p>
    <w:p>
      <w:pPr>
        <w:spacing w:after="120" w:before="80"/>
      </w:pPr>
      <w:r>
        <w:rPr>
          <w:rFonts w:ascii="Arial" w:cs="Arial" w:eastAsia="Arial" w:hAnsi="Arial"/>
          <w:color w:val="1A1A1A"/>
          <w:sz w:val="22"/>
          <w:szCs w:val="22"/>
        </w:rPr>
        <w:t xml:space="preserve">Follow every step exactly as written. Document any deviation in real time — before continuing, not afterward — with reason and potential effect on results.</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Equipment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560"/>
        <w:gridCol w:w="2400"/>
      </w:tblGrid>
      <w:tr>
        <w:tc>
          <w:tcPr>
            <w:tcW w:type="dxa" w:w="240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Tool</w:t>
            </w:r>
          </w:p>
        </w:tc>
        <w:tc>
          <w:tcPr>
            <w:tcW w:type="dxa" w:w="456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240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Approx. Cost</w:t>
            </w:r>
          </w:p>
        </w:tc>
      </w:tr>
      <w:tr>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Body voltage meter</w:t>
            </w:r>
          </w:p>
        </w:tc>
        <w:tc>
          <w:tcPr>
            <w:tcW w:type="dxa" w:w="45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Secondary measurement — documents electrical state change at tree contact vs. indoor baseline. Connects TTC-NS-002 to TTC-NS-001 data stream.</w:t>
            </w:r>
          </w:p>
        </w:tc>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$30–80</w:t>
            </w:r>
          </w:p>
        </w:tc>
      </w:tr>
      <w:tr>
        <w:tc>
          <w:tcPr>
            <w:tcW w:type="dxa" w:w="24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At-home immune proxy test (CBC kit or Everlywell Immune Health)</w:t>
            </w:r>
          </w:p>
        </w:tc>
        <w:tc>
          <w:tcPr>
            <w:tcW w:type="dxa" w:w="4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Measures white blood cell count and differential as proxy for NK cell activity. NOT a direct NK assay — document this limitation explicitly in every submission. Finger-prick format. Follow manufacturer instructions exactly.</w:t>
            </w:r>
          </w:p>
        </w:tc>
        <w:tc>
          <w:tcPr>
            <w:tcW w:type="dxa" w:w="24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$30–100</w:t>
            </w:r>
          </w:p>
        </w:tc>
      </w:tr>
      <w:tr>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Digital thermometer</w:t>
            </w:r>
          </w:p>
        </w:tc>
        <w:tc>
          <w:tcPr>
            <w:tcW w:type="dxa" w:w="45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Ambient temperature at forest site and indoor baseline. Temperature affects phytoncide volatilization rates and immune function.</w:t>
            </w:r>
          </w:p>
        </w:tc>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$10–20</w:t>
            </w:r>
          </w:p>
        </w:tc>
      </w:tr>
      <w:tr>
        <w:tc>
          <w:tcPr>
            <w:tcW w:type="dxa" w:w="24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Hygrometer (optional)</w:t>
            </w:r>
          </w:p>
        </w:tc>
        <w:tc>
          <w:tcPr>
            <w:tcW w:type="dxa" w:w="4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Ambient humidity. Phytoncide concentration increases with humidity. Document for replication.</w:t>
            </w:r>
          </w:p>
        </w:tc>
        <w:tc>
          <w:tcPr>
            <w:tcW w:type="dxa" w:w="24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$10–25</w:t>
            </w:r>
          </w:p>
        </w:tc>
      </w:tr>
      <w:tr>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Stopwatch or phone timer</w:t>
            </w:r>
          </w:p>
        </w:tc>
        <w:tc>
          <w:tcPr>
            <w:tcW w:type="dxa" w:w="45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2-hour minimum session timing. Document start and end times.</w:t>
            </w:r>
          </w:p>
        </w:tc>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On hand</w:t>
            </w:r>
          </w:p>
        </w:tc>
      </w:tr>
      <w:tr>
        <w:tc>
          <w:tcPr>
            <w:tcW w:type="dxa" w:w="24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Bound notebook (not loose pages)</w:t>
            </w:r>
          </w:p>
        </w:tc>
        <w:tc>
          <w:tcPr>
            <w:tcW w:type="dxa" w:w="4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Real-time data recording by Recorder. Bound pages protect sequence integrity of the public record.</w:t>
            </w:r>
          </w:p>
        </w:tc>
        <w:tc>
          <w:tcPr>
            <w:tcW w:type="dxa" w:w="24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$5–10</w:t>
            </w:r>
          </w:p>
        </w:tc>
      </w:tr>
      <w:tr>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Camera or phone</w:t>
            </w:r>
          </w:p>
        </w:tc>
        <w:tc>
          <w:tcPr>
            <w:tcW w:type="dxa" w:w="45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Photo documentation of site, position, test result cards, meter readings, notebook pages, and timestamp displays.</w:t>
            </w:r>
          </w:p>
        </w:tc>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On hand</w:t>
            </w:r>
          </w:p>
        </w:tc>
      </w:tr>
      <w:tr>
        <w:tc>
          <w:tcPr>
            <w:tcW w:type="dxa" w:w="24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GPS coordinates app</w:t>
            </w:r>
          </w:p>
        </w:tc>
        <w:tc>
          <w:tcPr>
            <w:tcW w:type="dxa" w:w="4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Exact forest site location, elevation, canopy density, proximity to water — all required for replication statement.</w:t>
            </w:r>
          </w:p>
        </w:tc>
        <w:tc>
          <w:tcPr>
            <w:tcW w:type="dxa" w:w="24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On hand</w:t>
            </w:r>
          </w:p>
        </w:tc>
      </w:tr>
    </w:tbl>
    <w:p>
      <w:pPr>
        <w:spacing w:after="0" w:before="200"/>
      </w:pPr>
      <w:r>
        <w:t xml:space="preserve"/>
      </w:r>
    </w:p>
    <w:p>
      <w:pPr>
        <w:pStyle w:val="Heading3"/>
        <w:spacing w:after="80" w:before="240"/>
      </w:pPr>
      <w:r>
        <w:rPr>
          <w:rFonts w:ascii="Arial" w:cs="Arial" w:eastAsia="Arial" w:hAnsi="Arial"/>
          <w:b/>
          <w:bCs/>
          <w:color w:val="4A4A4A"/>
          <w:sz w:val="22"/>
          <w:szCs w:val="22"/>
        </w:rPr>
        <w:t xml:space="preserve">Roles — Define Before the Experiment Begins</w:t>
      </w:r>
    </w:p>
    <w:p>
      <w:pPr>
        <w:pStyle w:val="ListParagraph"/>
        <w:numPr>
          <w:ilvl w:val="0"/>
          <w:numId w:val="2"/>
        </w:numPr>
        <w:spacing w:after="60" w:before="60"/>
      </w:pPr>
      <w:r>
        <w:rPr>
          <w:rFonts w:ascii="Arial" w:cs="Arial" w:eastAsia="Arial" w:hAnsi="Arial"/>
          <w:color w:val="1A1A1A"/>
          <w:sz w:val="22"/>
          <w:szCs w:val="22"/>
        </w:rPr>
        <w:t xml:space="preserve">Researcher: person whose body voltage and immune markers are being measured. Maintains consistent conditions across sessions.</w:t>
      </w:r>
    </w:p>
    <w:p>
      <w:pPr>
        <w:pStyle w:val="ListParagraph"/>
        <w:numPr>
          <w:ilvl w:val="0"/>
          <w:numId w:val="2"/>
        </w:numPr>
        <w:spacing w:after="60" w:before="60"/>
      </w:pPr>
      <w:r>
        <w:rPr>
          <w:rFonts w:ascii="Arial" w:cs="Arial" w:eastAsia="Arial" w:hAnsi="Arial"/>
          <w:color w:val="1A1A1A"/>
          <w:sz w:val="22"/>
          <w:szCs w:val="22"/>
        </w:rPr>
        <w:t xml:space="preserve">Neutral Witness: observes all steps, verifies readings and test procedures, co-signs all timestamps. Does not advise on technique during the experiment.</w:t>
      </w:r>
    </w:p>
    <w:p>
      <w:pPr>
        <w:pStyle w:val="ListParagraph"/>
        <w:numPr>
          <w:ilvl w:val="0"/>
          <w:numId w:val="2"/>
        </w:numPr>
        <w:spacing w:after="60" w:before="60"/>
      </w:pPr>
      <w:r>
        <w:rPr>
          <w:rFonts w:ascii="Arial" w:cs="Arial" w:eastAsia="Arial" w:hAnsi="Arial"/>
          <w:color w:val="1A1A1A"/>
          <w:sz w:val="22"/>
          <w:szCs w:val="22"/>
        </w:rPr>
        <w:t xml:space="preserve">Recorder: documents all observations, readings, conditions, and deviations in real time. May be same person as Neutral Witness — document if so.</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Site Requirements — Two Sites Per Session</w:t>
      </w:r>
    </w:p>
    <w:p>
      <w:pPr>
        <w:pStyle w:val="ListParagraph"/>
        <w:numPr>
          <w:ilvl w:val="0"/>
          <w:numId w:val="2"/>
        </w:numPr>
        <w:spacing w:after="60" w:before="60"/>
      </w:pPr>
      <w:r>
        <w:rPr>
          <w:rFonts w:ascii="Arial" w:cs="Arial" w:eastAsia="Arial" w:hAnsi="Arial"/>
          <w:color w:val="1A1A1A"/>
          <w:sz w:val="22"/>
          <w:szCs w:val="22"/>
        </w:rPr>
        <w:t xml:space="preserve">Site A — Forest / Living Tree: outdoor location with living trees. Minimum 2 continuous hours with hands and/or body in direct contact with bark. Bare skin to bark — no rubber gloves. No vigorous exercise — slow walking within the forest is acceptable. Document tree species if identifiable. Ideally conduct at the same site across all sessions to control for species and phytoncide variation.</w:t>
      </w:r>
    </w:p>
    <w:p>
      <w:pPr>
        <w:pStyle w:val="ListParagraph"/>
        <w:numPr>
          <w:ilvl w:val="0"/>
          <w:numId w:val="2"/>
        </w:numPr>
        <w:spacing w:after="60" w:before="60"/>
      </w:pPr>
      <w:r>
        <w:rPr>
          <w:rFonts w:ascii="Arial" w:cs="Arial" w:eastAsia="Arial" w:hAnsi="Arial"/>
          <w:color w:val="1A1A1A"/>
          <w:sz w:val="22"/>
          <w:szCs w:val="22"/>
        </w:rPr>
        <w:t xml:space="preserve">Site B — Indoor Baseline: standard indoor environment, WiFi active, typical appliances running. No outdoor air exposure. Researcher sits or stands 30 minutes minimum. No tree contact, no forest air. This is the control condition.</w:t>
      </w:r>
    </w:p>
    <w:p>
      <w:pPr>
        <w:spacing w:after="120" w:before="80"/>
      </w:pPr>
      <w:r>
        <w:rPr>
          <w:rFonts w:ascii="Arial" w:cs="Arial" w:eastAsia="Arial" w:hAnsi="Arial"/>
          <w:color w:val="1A1A1A"/>
          <w:sz w:val="22"/>
          <w:szCs w:val="22"/>
        </w:rPr>
        <w:t xml:space="preserve">Conduct Site B (indoor baseline) FIRST on session days where possible. This prevents any forest priming effect from contaminating the baseline reading. Document the order and any deviation.</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Immune Marker Testing Schedule — Four-Point Protocol</w:t>
      </w:r>
    </w:p>
    <w:p>
      <w:pPr>
        <w:spacing w:after="120" w:before="80"/>
      </w:pPr>
      <w:r>
        <w:rPr>
          <w:rFonts w:ascii="Arial" w:cs="Arial" w:eastAsia="Arial" w:hAnsi="Arial"/>
          <w:color w:val="1A1A1A"/>
          <w:sz w:val="22"/>
          <w:szCs w:val="22"/>
        </w:rPr>
        <w:t xml:space="preserve">This schedule mirrors the temporal structure of Li et al.’s studies:</w:t>
      </w:r>
    </w:p>
    <w:p>
      <w:pPr>
        <w:pStyle w:val="ListParagraph"/>
        <w:numPr>
          <w:ilvl w:val="0"/>
          <w:numId w:val="3"/>
        </w:numPr>
        <w:spacing w:after="60" w:before="60"/>
      </w:pPr>
      <w:r>
        <w:rPr>
          <w:rFonts w:ascii="Arial" w:cs="Arial" w:eastAsia="Arial" w:hAnsi="Arial"/>
          <w:color w:val="1A1A1A"/>
          <w:sz w:val="22"/>
          <w:szCs w:val="22"/>
        </w:rPr>
        <w:t xml:space="preserve">Day 0 — Baseline: Take at-home immune marker test the morning of the first forest session, BEFORE going to the forest. This is your pre-exposure baseline. Neutral Witness observes and co-signs.</w:t>
      </w:r>
    </w:p>
    <w:p>
      <w:pPr>
        <w:pStyle w:val="ListParagraph"/>
        <w:numPr>
          <w:ilvl w:val="0"/>
          <w:numId w:val="3"/>
        </w:numPr>
        <w:spacing w:after="60" w:before="60"/>
      </w:pPr>
      <w:r>
        <w:rPr>
          <w:rFonts w:ascii="Arial" w:cs="Arial" w:eastAsia="Arial" w:hAnsi="Arial"/>
          <w:color w:val="1A1A1A"/>
          <w:sz w:val="22"/>
          <w:szCs w:val="22"/>
        </w:rPr>
        <w:t xml:space="preserve">Day 1 — Post-Forest (24 hours): Take test 24 hours after completing the forest session.</w:t>
      </w:r>
    </w:p>
    <w:p>
      <w:pPr>
        <w:pStyle w:val="ListParagraph"/>
        <w:numPr>
          <w:ilvl w:val="0"/>
          <w:numId w:val="3"/>
        </w:numPr>
        <w:spacing w:after="60" w:before="60"/>
      </w:pPr>
      <w:r>
        <w:rPr>
          <w:rFonts w:ascii="Arial" w:cs="Arial" w:eastAsia="Arial" w:hAnsi="Arial"/>
          <w:color w:val="1A1A1A"/>
          <w:sz w:val="22"/>
          <w:szCs w:val="22"/>
        </w:rPr>
        <w:t xml:space="preserve">Day 7 — Persistence Check: Take test 7 days after the forest session. This is the primary outcome measurement. Li et al. established 7-day persistence as the key finding.</w:t>
      </w:r>
    </w:p>
    <w:p>
      <w:pPr>
        <w:pStyle w:val="ListParagraph"/>
        <w:numPr>
          <w:ilvl w:val="0"/>
          <w:numId w:val="3"/>
        </w:numPr>
        <w:spacing w:after="60" w:before="60"/>
      </w:pPr>
      <w:r>
        <w:rPr>
          <w:rFonts w:ascii="Arial" w:cs="Arial" w:eastAsia="Arial" w:hAnsi="Arial"/>
          <w:color w:val="1A1A1A"/>
          <w:sz w:val="22"/>
          <w:szCs w:val="22"/>
        </w:rPr>
        <w:t xml:space="preserve">Day 30 — Extended Persistence (optional but strongly recommended): Single-session effects at 30 days are unknown. Document honestly whatever the data shows.</w:t>
      </w:r>
    </w:p>
    <w:p>
      <w:pPr>
        <w:spacing w:after="120" w:before="80"/>
      </w:pPr>
      <w:r>
        <w:rPr>
          <w:rFonts w:ascii="Arial" w:cs="Arial" w:eastAsia="Arial" w:hAnsi="Arial"/>
          <w:color w:val="1A1A1A"/>
          <w:sz w:val="22"/>
          <w:szCs w:val="22"/>
        </w:rPr>
        <w:t xml:space="preserve">Photograph each test result card alongside a date-stamped device display. Record all values in the bound notebook. Neutral Witness reviews and co-signs each result entry.</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Session Protocol — Step by Step</w:t>
      </w:r>
    </w:p>
    <w:p>
      <w:pPr>
        <w:pStyle w:val="ListParagraph"/>
        <w:numPr>
          <w:ilvl w:val="0"/>
          <w:numId w:val="3"/>
        </w:numPr>
        <w:spacing w:after="60" w:before="60"/>
      </w:pPr>
      <w:r>
        <w:rPr>
          <w:rFonts w:ascii="Arial" w:cs="Arial" w:eastAsia="Arial" w:hAnsi="Arial"/>
          <w:color w:val="1A1A1A"/>
          <w:sz w:val="22"/>
          <w:szCs w:val="22"/>
        </w:rPr>
        <w:t xml:space="preserve">Morning of session day: complete at-home immune marker test if Day 0. Record all values. Photograph result card. Neutral Witness co-signs.</w:t>
      </w:r>
    </w:p>
    <w:p>
      <w:pPr>
        <w:pStyle w:val="ListParagraph"/>
        <w:numPr>
          <w:ilvl w:val="0"/>
          <w:numId w:val="3"/>
        </w:numPr>
        <w:spacing w:after="60" w:before="60"/>
      </w:pPr>
      <w:r>
        <w:rPr>
          <w:rFonts w:ascii="Arial" w:cs="Arial" w:eastAsia="Arial" w:hAnsi="Arial"/>
          <w:color w:val="1A1A1A"/>
          <w:sz w:val="22"/>
          <w:szCs w:val="22"/>
        </w:rPr>
        <w:t xml:space="preserve">Site B first (indoor baseline): 30 minutes minimum. Take body voltage reading per TTC-NS-001 protocol (floating meter ground, NOT household electrical ground). Record conditions: temperature, time, all persons present, all equipment. Neutral Witness co-signs data page.</w:t>
      </w:r>
    </w:p>
    <w:p>
      <w:pPr>
        <w:pStyle w:val="ListParagraph"/>
        <w:numPr>
          <w:ilvl w:val="0"/>
          <w:numId w:val="3"/>
        </w:numPr>
        <w:spacing w:after="60" w:before="60"/>
      </w:pPr>
      <w:r>
        <w:rPr>
          <w:rFonts w:ascii="Arial" w:cs="Arial" w:eastAsia="Arial" w:hAnsi="Arial"/>
          <w:color w:val="1A1A1A"/>
          <w:sz w:val="22"/>
          <w:szCs w:val="22"/>
        </w:rPr>
        <w:t xml:space="preserve">Travel to forest site. On arrival: record GPS coordinates, elevation, canopy density description, tree species if known, temperature, humidity, time of arrival.</w:t>
      </w:r>
    </w:p>
    <w:p>
      <w:pPr>
        <w:pStyle w:val="ListParagraph"/>
        <w:numPr>
          <w:ilvl w:val="0"/>
          <w:numId w:val="3"/>
        </w:numPr>
        <w:spacing w:after="60" w:before="60"/>
      </w:pPr>
      <w:r>
        <w:rPr>
          <w:rFonts w:ascii="Arial" w:cs="Arial" w:eastAsia="Arial" w:hAnsi="Arial"/>
          <w:color w:val="1A1A1A"/>
          <w:sz w:val="22"/>
          <w:szCs w:val="22"/>
        </w:rPr>
        <w:t xml:space="preserve">Begin 2-hour forest session. Researcher places hands and/or back directly on tree bark. Seated or standing. Maintain direct contact as the primary activity. Slow walking permitted. No vigorous exercise.</w:t>
      </w:r>
    </w:p>
    <w:p>
      <w:pPr>
        <w:pStyle w:val="ListParagraph"/>
        <w:numPr>
          <w:ilvl w:val="0"/>
          <w:numId w:val="3"/>
        </w:numPr>
        <w:spacing w:after="60" w:before="60"/>
      </w:pPr>
      <w:r>
        <w:rPr>
          <w:rFonts w:ascii="Arial" w:cs="Arial" w:eastAsia="Arial" w:hAnsi="Arial"/>
          <w:color w:val="1A1A1A"/>
          <w:sz w:val="22"/>
          <w:szCs w:val="22"/>
        </w:rPr>
        <w:t xml:space="preserve">At 60-minute mark: take body voltage reading while maintaining tree contact. Ground rod driven minimum 12 inches into forest soil. Record reading. Photograph meter with site visible. Neutral Witness verifies.</w:t>
      </w:r>
    </w:p>
    <w:p>
      <w:pPr>
        <w:pStyle w:val="ListParagraph"/>
        <w:numPr>
          <w:ilvl w:val="0"/>
          <w:numId w:val="3"/>
        </w:numPr>
        <w:spacing w:after="60" w:before="60"/>
      </w:pPr>
      <w:r>
        <w:rPr>
          <w:rFonts w:ascii="Arial" w:cs="Arial" w:eastAsia="Arial" w:hAnsi="Arial"/>
          <w:color w:val="1A1A1A"/>
          <w:sz w:val="22"/>
          <w:szCs w:val="22"/>
        </w:rPr>
        <w:t xml:space="preserve">At 120-minute mark: take second body voltage reading. Record. Calculate session average. Neutral Witness confirms values and co-signs.</w:t>
      </w:r>
    </w:p>
    <w:p>
      <w:pPr>
        <w:pStyle w:val="ListParagraph"/>
        <w:numPr>
          <w:ilvl w:val="0"/>
          <w:numId w:val="3"/>
        </w:numPr>
        <w:spacing w:after="60" w:before="60"/>
      </w:pPr>
      <w:r>
        <w:rPr>
          <w:rFonts w:ascii="Arial" w:cs="Arial" w:eastAsia="Arial" w:hAnsi="Arial"/>
          <w:color w:val="1A1A1A"/>
          <w:sz w:val="22"/>
          <w:szCs w:val="22"/>
        </w:rPr>
        <w:t xml:space="preserve">Record all session metadata: duration, exact tree contact time, species, contact method, weather changes during session, any deviations.</w:t>
      </w:r>
    </w:p>
    <w:p>
      <w:pPr>
        <w:pStyle w:val="ListParagraph"/>
        <w:numPr>
          <w:ilvl w:val="0"/>
          <w:numId w:val="3"/>
        </w:numPr>
        <w:spacing w:after="60" w:before="60"/>
      </w:pPr>
      <w:r>
        <w:rPr>
          <w:rFonts w:ascii="Arial" w:cs="Arial" w:eastAsia="Arial" w:hAnsi="Arial"/>
          <w:color w:val="1A1A1A"/>
          <w:sz w:val="22"/>
          <w:szCs w:val="22"/>
        </w:rPr>
        <w:t xml:space="preserve">Photograph bound notebook data page with forest site visible in background.</w:t>
      </w:r>
    </w:p>
    <w:p>
      <w:pPr>
        <w:pStyle w:val="ListParagraph"/>
        <w:numPr>
          <w:ilvl w:val="0"/>
          <w:numId w:val="3"/>
        </w:numPr>
        <w:spacing w:after="60" w:before="60"/>
      </w:pPr>
      <w:r>
        <w:rPr>
          <w:rFonts w:ascii="Arial" w:cs="Arial" w:eastAsia="Arial" w:hAnsi="Arial"/>
          <w:color w:val="1A1A1A"/>
          <w:sz w:val="22"/>
          <w:szCs w:val="22"/>
        </w:rPr>
        <w:t xml:space="preserve">Document any deviations in real time before leaving the site.</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Minimum Replication Standard</w:t>
      </w:r>
    </w:p>
    <w:p>
      <w:pPr>
        <w:spacing w:after="120" w:before="80"/>
      </w:pPr>
      <w:r>
        <w:rPr>
          <w:rFonts w:ascii="Arial" w:cs="Arial" w:eastAsia="Arial" w:hAnsi="Arial"/>
          <w:color w:val="1A1A1A"/>
          <w:sz w:val="22"/>
          <w:szCs w:val="22"/>
        </w:rPr>
        <w:t xml:space="preserve">A single session does not constitute a finding. The minimum standard for a public record submission under TTC-NS-002 is 3 paired sessions (Site A and Site B per session) across at least 3 different days, with the full four-point immune marker schedule completed for at least one complete cycle. This produces a minimum of 6 paired body voltage readings and 4 immune marker data points. Submissions with fewer data points will be logged as partial datasets — still valuable for aggregation, but insufficient for individual finding claims.</w:t>
      </w:r>
    </w:p>
    <w:p>
      <w:pPr>
        <w:pBdr>
          <w:left w:val="single" w:color="8B4513" w:sz="18" w:space="8"/>
        </w:pBdr>
        <w:shd w:fill="F5ECD7" w:val="clear"/>
        <w:spacing w:after="160" w:before="160"/>
        <w:ind w:left="360"/>
      </w:pPr>
      <w:r>
        <w:rPr>
          <w:rFonts w:ascii="Arial" w:cs="Arial" w:eastAsia="Arial" w:hAnsi="Arial"/>
          <w:b/>
          <w:bCs/>
          <w:color w:val="8B4513"/>
          <w:sz w:val="20"/>
          <w:szCs w:val="20"/>
        </w:rPr>
        <w:t xml:space="preserve">⏱ TIMESTAMP REQUIRED  —  </w:t>
      </w:r>
      <w:r>
        <w:rPr>
          <w:rFonts w:ascii="Arial" w:cs="Arial" w:eastAsia="Arial" w:hAnsi="Arial"/>
          <w:i/>
          <w:iCs/>
          <w:color w:val="4A4A4A"/>
          <w:sz w:val="20"/>
          <w:szCs w:val="20"/>
        </w:rPr>
        <w:t xml:space="preserve">Neutral Witness co-signs the Recorder’s notes at the conclusion of each session. Session initiation and conclusion timestamps recorded for each session.</w:t>
      </w:r>
    </w:p>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Step 7 — Analyze Data, Categorize Conclusions, Draw Findings</w:t>
      </w:r>
    </w:p>
    <w:p>
      <w:pPr>
        <w:pStyle w:val="Heading3"/>
        <w:spacing w:after="80" w:before="240"/>
      </w:pPr>
      <w:r>
        <w:rPr>
          <w:rFonts w:ascii="Arial" w:cs="Arial" w:eastAsia="Arial" w:hAnsi="Arial"/>
          <w:b/>
          <w:bCs/>
          <w:color w:val="4A4A4A"/>
          <w:sz w:val="22"/>
          <w:szCs w:val="22"/>
        </w:rPr>
        <w:t xml:space="preserve">How to Analyze Your Data</w:t>
      </w:r>
    </w:p>
    <w:p>
      <w:pPr>
        <w:spacing w:after="120" w:before="80"/>
      </w:pPr>
      <w:r>
        <w:rPr>
          <w:rFonts w:ascii="Arial" w:cs="Arial" w:eastAsia="Arial" w:hAnsi="Arial"/>
          <w:color w:val="1A1A1A"/>
          <w:sz w:val="22"/>
          <w:szCs w:val="22"/>
        </w:rPr>
        <w:t xml:space="preserve">For immune marker data: calculate the percentage change between Day 0 baseline and each subsequent measurement (Day 1, Day 7, Day 30). Is the directional change consistent with Li et al.’s findings — an increase in immune markers? Does it persist to Day 7? Is the magnitude within or beyond normal laboratory variation for the test kit used?</w:t>
      </w:r>
    </w:p>
    <w:p>
      <w:pPr>
        <w:spacing w:after="120" w:before="80"/>
      </w:pPr>
      <w:r>
        <w:rPr>
          <w:rFonts w:ascii="Arial" w:cs="Arial" w:eastAsia="Arial" w:hAnsi="Arial"/>
          <w:color w:val="1A1A1A"/>
          <w:sz w:val="22"/>
          <w:szCs w:val="22"/>
        </w:rPr>
        <w:t xml:space="preserve">For body voltage data: calculate average reading at tree contact (Site A) vs. indoor baseline (Site B) and the percentage difference. Is the directional change consistent across sessions? Compare to any TTC-NS-001 data you have from the same or similar terrain environments.</w:t>
      </w:r>
    </w:p>
    <w:p>
      <w:pPr>
        <w:spacing w:after="120" w:before="80"/>
      </w:pPr>
      <w:r>
        <w:rPr>
          <w:rFonts w:ascii="Arial" w:cs="Arial" w:eastAsia="Arial" w:hAnsi="Arial"/>
          <w:color w:val="1A1A1A"/>
          <w:sz w:val="22"/>
          <w:szCs w:val="22"/>
        </w:rPr>
        <w:t xml:space="preserve">Compare all results against both predictions from Step 5. Document every divergence — including from your own hypothesis. A null result is not a failed experiment. It is the method working as designed.</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Finding Categories — Apply Before Writing Conclusions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736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What This Experiment Can and Cannot Show</w:t>
            </w:r>
          </w:p>
        </w:tc>
      </w:tr>
      <w:tr>
        <w:tc>
          <w:tcPr>
            <w:tcW w:type="dxa" w:w="2000"/>
            <w:tcBorders>
              <w:top w:val="single" w:color="C8A96E" w:sz="1"/>
              <w:left w:val="single" w:color="C8A96E" w:sz="1"/>
              <w:bottom w:val="single" w:color="C8A96E" w:sz="1"/>
              <w:right w:val="single" w:color="C8A96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Category 1
Directly Shown</w:t>
            </w:r>
          </w:p>
        </w:tc>
        <w:tc>
          <w:tcPr>
            <w:tcW w:type="dxa" w:w="73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Whether at-home immune proxy markers (CBC) show a measurable directional change between pre-forest baseline and Day 7 measurement. Whether body voltage at tree contact is consistently lower than indoor baseline. Whether the directional pattern holds across minimum 3 paired sessions.</w:t>
            </w:r>
          </w:p>
        </w:tc>
      </w:tr>
      <w:tr>
        <w:tc>
          <w:tcPr>
            <w:tcW w:type="dxa" w:w="2000"/>
            <w:tcBorders>
              <w:top w:val="single" w:color="C8A96E" w:sz="1"/>
              <w:left w:val="single" w:color="C8A96E" w:sz="1"/>
              <w:bottom w:val="single" w:color="C8A96E" w:sz="1"/>
              <w:right w:val="single" w:color="C8A96E" w:sz="1"/>
            </w:tcBorders>
            <w:shd w:fill="B8860B" w:val="clear"/>
            <w:tcMar>
              <w:top w:type="dxa" w:w="80"/>
              <w:left w:type="dxa" w:w="120"/>
              <w:bottom w:type="dxa" w:w="80"/>
              <w:right w:type="dxa" w:w="120"/>
            </w:tcMar>
          </w:tcPr>
          <w:p>
            <w:r>
              <w:rPr>
                <w:rFonts w:ascii="Arial" w:cs="Arial" w:eastAsia="Arial" w:hAnsi="Arial"/>
                <w:b/>
                <w:bCs/>
                <w:color w:val="FFFFFF"/>
                <w:sz w:val="20"/>
                <w:szCs w:val="20"/>
              </w:rPr>
              <w:t xml:space="preserve">Category 2
Inferred</w:t>
            </w:r>
          </w:p>
        </w:tc>
        <w:tc>
          <w:tcPr>
            <w:tcW w:type="dxa" w:w="73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Whether the observed proxy marker change is caused by phytoncide inhalation specifically, versus reduced stress hormones, physical activity change, sleep improvement, or other forest variables operating simultaneously. Direct NK cell assay (Tier 2 clinical) is required to elevate this to Category 1.</w:t>
            </w:r>
          </w:p>
        </w:tc>
      </w:tr>
      <w:tr>
        <w:tc>
          <w:tcPr>
            <w:tcW w:type="dxa" w:w="2000"/>
            <w:tcBorders>
              <w:top w:val="single" w:color="C8A96E" w:sz="1"/>
              <w:left w:val="single" w:color="C8A96E" w:sz="1"/>
              <w:bottom w:val="single" w:color="C8A96E" w:sz="1"/>
              <w:right w:val="single" w:color="C8A96E" w:sz="1"/>
            </w:tcBorders>
            <w:shd w:fill="757575" w:val="clear"/>
            <w:tcMar>
              <w:top w:type="dxa" w:w="80"/>
              <w:left w:type="dxa" w:w="120"/>
              <w:bottom w:type="dxa" w:w="80"/>
              <w:right w:type="dxa" w:w="120"/>
            </w:tcMar>
          </w:tcPr>
          <w:p>
            <w:r>
              <w:rPr>
                <w:rFonts w:ascii="Arial" w:cs="Arial" w:eastAsia="Arial" w:hAnsi="Arial"/>
                <w:b/>
                <w:bCs/>
                <w:color w:val="FFFFFF"/>
                <w:sz w:val="20"/>
                <w:szCs w:val="20"/>
              </w:rPr>
              <w:t xml:space="preserve">Category 3
Open Question</w:t>
            </w:r>
          </w:p>
        </w:tc>
        <w:tc>
          <w:tcPr>
            <w:tcW w:type="dxa" w:w="73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Whether tree species affects the magnitude of response. Whether elevation, canopy density, or seasonal phytoncide variation modifies results. Whether effects accumulate across repeated sessions. Whether the grounding/electron transfer effect (TTC-NS-001) and the phytoncide effect can be isolated from each other. These are directions for TTC-NS-003 and TTC-NS-004.</w:t>
            </w:r>
          </w:p>
        </w:tc>
      </w:tr>
    </w:tbl>
    <w:p>
      <w:pPr>
        <w:spacing w:after="0" w:before="240"/>
      </w:pPr>
      <w:r>
        <w:t xml:space="preserve"/>
      </w:r>
    </w:p>
    <w:p>
      <w:pPr>
        <w:pStyle w:val="Heading3"/>
        <w:spacing w:after="80" w:before="240"/>
      </w:pPr>
      <w:r>
        <w:rPr>
          <w:rFonts w:ascii="Arial" w:cs="Arial" w:eastAsia="Arial" w:hAnsi="Arial"/>
          <w:b/>
          <w:bCs/>
          <w:color w:val="4A4A4A"/>
          <w:sz w:val="22"/>
          <w:szCs w:val="22"/>
        </w:rPr>
        <w:t xml:space="preserve">Critical Limitation — Proxy vs. Direct NK Assay</w:t>
      </w:r>
    </w:p>
    <w:p>
      <w:pPr>
        <w:spacing w:after="120" w:before="80"/>
      </w:pPr>
      <w:r>
        <w:rPr>
          <w:rFonts w:ascii="Arial" w:cs="Arial" w:eastAsia="Arial" w:hAnsi="Arial"/>
          <w:color w:val="1A1A1A"/>
          <w:sz w:val="22"/>
          <w:szCs w:val="22"/>
        </w:rPr>
        <w:t xml:space="preserve">This is the most important limitation in this protocol and must appear prominently in every submission. At-home CBC tests measure white blood cell count and differential. They do not directly measure NK cell activity, NK cell count, perforin, granzyme, or granulysin expression. These are the specific markers Li et al. measured with clinical instruments. A directional CBC change is consistent with the phytoncide hypothesis. It does not confirm it. A null CBC result does not falsify the hypothesis — it may mean the proxy is insufficiently sensitive. Both results must be reported with this distinction made explicit.</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Required: Honest Null Result</w:t>
      </w:r>
    </w:p>
    <w:p>
      <w:pPr>
        <w:spacing w:after="120" w:before="80"/>
      </w:pPr>
      <w:r>
        <w:rPr>
          <w:rFonts w:ascii="Arial" w:cs="Arial" w:eastAsia="Arial" w:hAnsi="Arial"/>
          <w:color w:val="1A1A1A"/>
          <w:sz w:val="22"/>
          <w:szCs w:val="22"/>
        </w:rPr>
        <w:t xml:space="preserve">If your data shows no consistent directional change in immune proxies, that is a valid and important finding. Report it as clearly as a positive result. A well-documented null result contributes more to the evidence base than a positive result that is never submitted.</w:t>
      </w:r>
    </w:p>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Step 8 — Communicate Results: The Public Record</w:t>
      </w:r>
    </w:p>
    <w:p>
      <w:pPr>
        <w:spacing w:after="120" w:before="80"/>
      </w:pPr>
      <w:r>
        <w:rPr>
          <w:rFonts w:ascii="Arial" w:cs="Arial" w:eastAsia="Arial" w:hAnsi="Arial"/>
          <w:color w:val="1A1A1A"/>
          <w:sz w:val="22"/>
          <w:szCs w:val="22"/>
        </w:rPr>
        <w:t xml:space="preserve">Submit your completed dataset promptly to the Tymmber U Natural Sciences research portal. The gap between experiment completion and submission is part of the integrity record.</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Submission Requirements</w:t>
      </w:r>
    </w:p>
    <w:p>
      <w:pPr>
        <w:pStyle w:val="ListParagraph"/>
        <w:numPr>
          <w:ilvl w:val="0"/>
          <w:numId w:val="2"/>
        </w:numPr>
        <w:spacing w:after="60" w:before="60"/>
      </w:pPr>
      <w:r>
        <w:rPr>
          <w:rFonts w:ascii="Arial" w:cs="Arial" w:eastAsia="Arial" w:hAnsi="Arial"/>
          <w:color w:val="1A1A1A"/>
          <w:sz w:val="22"/>
          <w:szCs w:val="22"/>
        </w:rPr>
        <w:t xml:space="preserve">Completed data table with all session readings, dates, sites, test results, and Neutral Witness signatures.</w:t>
      </w:r>
    </w:p>
    <w:p>
      <w:pPr>
        <w:pStyle w:val="ListParagraph"/>
        <w:numPr>
          <w:ilvl w:val="0"/>
          <w:numId w:val="2"/>
        </w:numPr>
        <w:spacing w:after="60" w:before="60"/>
      </w:pPr>
      <w:r>
        <w:rPr>
          <w:rFonts w:ascii="Arial" w:cs="Arial" w:eastAsia="Arial" w:hAnsi="Arial"/>
          <w:color w:val="1A1A1A"/>
          <w:sz w:val="22"/>
          <w:szCs w:val="22"/>
        </w:rPr>
        <w:t xml:space="preserve">Photographs of immune marker test result cards, body voltage meter readings, notebook pages, and both sites.</w:t>
      </w:r>
    </w:p>
    <w:p>
      <w:pPr>
        <w:pStyle w:val="ListParagraph"/>
        <w:numPr>
          <w:ilvl w:val="0"/>
          <w:numId w:val="2"/>
        </w:numPr>
        <w:spacing w:after="60" w:before="60"/>
      </w:pPr>
      <w:r>
        <w:rPr>
          <w:rFonts w:ascii="Arial" w:cs="Arial" w:eastAsia="Arial" w:hAnsi="Arial"/>
          <w:color w:val="1A1A1A"/>
          <w:sz w:val="22"/>
          <w:szCs w:val="22"/>
        </w:rPr>
        <w:t xml:space="preserve">Complete Required Documentation Appendix (Sections A through F).</w:t>
      </w:r>
    </w:p>
    <w:p>
      <w:pPr>
        <w:pStyle w:val="ListParagraph"/>
        <w:numPr>
          <w:ilvl w:val="0"/>
          <w:numId w:val="2"/>
        </w:numPr>
        <w:spacing w:after="60" w:before="60"/>
      </w:pPr>
      <w:r>
        <w:rPr>
          <w:rFonts w:ascii="Arial" w:cs="Arial" w:eastAsia="Arial" w:hAnsi="Arial"/>
          <w:color w:val="1A1A1A"/>
          <w:sz w:val="22"/>
          <w:szCs w:val="22"/>
        </w:rPr>
        <w:t xml:space="preserve">Bias documentation from Step 0.</w:t>
      </w:r>
    </w:p>
    <w:p>
      <w:pPr>
        <w:pStyle w:val="ListParagraph"/>
        <w:numPr>
          <w:ilvl w:val="0"/>
          <w:numId w:val="2"/>
        </w:numPr>
        <w:spacing w:after="60" w:before="60"/>
      </w:pPr>
      <w:r>
        <w:rPr>
          <w:rFonts w:ascii="Arial" w:cs="Arial" w:eastAsia="Arial" w:hAnsi="Arial"/>
          <w:color w:val="1A1A1A"/>
          <w:sz w:val="22"/>
          <w:szCs w:val="22"/>
        </w:rPr>
        <w:t xml:space="preserve">Step 5 predictions, timestamped, alongside actual results.</w:t>
      </w:r>
    </w:p>
    <w:p>
      <w:pPr>
        <w:pStyle w:val="ListParagraph"/>
        <w:numPr>
          <w:ilvl w:val="0"/>
          <w:numId w:val="2"/>
        </w:numPr>
        <w:spacing w:after="60" w:before="60"/>
      </w:pPr>
      <w:r>
        <w:rPr>
          <w:rFonts w:ascii="Arial" w:cs="Arial" w:eastAsia="Arial" w:hAnsi="Arial"/>
          <w:color w:val="1A1A1A"/>
          <w:sz w:val="22"/>
          <w:szCs w:val="22"/>
        </w:rPr>
        <w:t xml:space="preserve">Integrity Attestation signed by researcher and Neutral Witness (Step 9).</w:t>
      </w:r>
    </w:p>
    <w:p>
      <w:pPr>
        <w:pStyle w:val="ListParagraph"/>
        <w:numPr>
          <w:ilvl w:val="0"/>
          <w:numId w:val="2"/>
        </w:numPr>
        <w:spacing w:after="60" w:before="60"/>
      </w:pPr>
      <w:r>
        <w:rPr>
          <w:rFonts w:ascii="Arial" w:cs="Arial" w:eastAsia="Arial" w:hAnsi="Arial"/>
          <w:color w:val="1A1A1A"/>
          <w:sz w:val="22"/>
          <w:szCs w:val="22"/>
        </w:rPr>
        <w:t xml:space="preserve">Email to: submissions@tymmberoutdoor.com  |  Subject line: TTC-NS-002 Dataset Submission</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Data Table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960"/>
        <w:gridCol w:w="960"/>
        <w:gridCol w:w="1000"/>
        <w:gridCol w:w="720"/>
        <w:gridCol w:w="760"/>
        <w:gridCol w:w="1120"/>
        <w:gridCol w:w="1120"/>
        <w:gridCol w:w="1000"/>
      </w:tblGrid>
      <w:tr>
        <w:tc>
          <w:tcPr>
            <w:tcW w:type="dxa" w:w="72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Session #</w:t>
            </w:r>
          </w:p>
        </w:tc>
        <w:tc>
          <w:tcPr>
            <w:tcW w:type="dxa" w:w="96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96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Site</w:t>
            </w:r>
          </w:p>
        </w:tc>
        <w:tc>
          <w:tcPr>
            <w:tcW w:type="dxa" w:w="100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Duration (min)</w:t>
            </w:r>
          </w:p>
        </w:tc>
        <w:tc>
          <w:tcPr>
            <w:tcW w:type="dxa" w:w="72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Temp °F</w:t>
            </w:r>
          </w:p>
        </w:tc>
        <w:tc>
          <w:tcPr>
            <w:tcW w:type="dxa" w:w="76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Humidity %</w:t>
            </w:r>
          </w:p>
        </w:tc>
        <w:tc>
          <w:tcPr>
            <w:tcW w:type="dxa" w:w="112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Body Voltage (mV)</w:t>
            </w:r>
          </w:p>
        </w:tc>
        <w:tc>
          <w:tcPr>
            <w:tcW w:type="dxa" w:w="112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Immune Marker Result</w:t>
            </w:r>
          </w:p>
        </w:tc>
        <w:tc>
          <w:tcPr>
            <w:tcW w:type="dxa" w:w="100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7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r>
      <w:tr>
        <w:tc>
          <w:tcPr>
            <w:tcW w:type="dxa" w:w="7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r>
      <w:tr>
        <w:tc>
          <w:tcPr>
            <w:tcW w:type="dxa" w:w="7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r>
      <w:tr>
        <w:tc>
          <w:tcPr>
            <w:tcW w:type="dxa" w:w="7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r>
      <w:tr>
        <w:tc>
          <w:tcPr>
            <w:tcW w:type="dxa" w:w="7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 </w:t>
            </w:r>
          </w:p>
        </w:tc>
      </w:tr>
      <w:tr>
        <w:tc>
          <w:tcPr>
            <w:tcW w:type="dxa" w:w="7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9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7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12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c>
          <w:tcPr>
            <w:tcW w:type="dxa" w:w="10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 </w:t>
            </w:r>
          </w:p>
        </w:tc>
      </w:tr>
    </w:tbl>
    <w:p>
      <w:pPr>
        <w:spacing w:after="0" w:before="240"/>
      </w:pPr>
      <w:r>
        <w:t xml:space="preserve"/>
      </w:r>
    </w:p>
    <w:p>
      <w:pPr>
        <w:pBdr>
          <w:left w:val="single" w:color="8B4513" w:sz="18" w:space="8"/>
        </w:pBdr>
        <w:shd w:fill="F5ECD7" w:val="clear"/>
        <w:spacing w:after="160" w:before="160"/>
        <w:ind w:left="360"/>
      </w:pPr>
      <w:r>
        <w:rPr>
          <w:rFonts w:ascii="Arial" w:cs="Arial" w:eastAsia="Arial" w:hAnsi="Arial"/>
          <w:b/>
          <w:bCs/>
          <w:color w:val="8B4513"/>
          <w:sz w:val="20"/>
          <w:szCs w:val="20"/>
        </w:rPr>
        <w:t xml:space="preserve">⏱ TIMESTAMP REQUIRED  —  </w:t>
      </w:r>
      <w:r>
        <w:rPr>
          <w:rFonts w:ascii="Arial" w:cs="Arial" w:eastAsia="Arial" w:hAnsi="Arial"/>
          <w:i/>
          <w:iCs/>
          <w:color w:val="4A4A4A"/>
          <w:sz w:val="20"/>
          <w:szCs w:val="20"/>
        </w:rPr>
        <w:t xml:space="preserve">Neutral Witness co-signs the public record at time of submission. Timestamp recorded.</w:t>
      </w:r>
    </w:p>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Step 9 — Integrity Attestation</w:t>
      </w:r>
    </w:p>
    <w:p>
      <w:pPr>
        <w:spacing w:after="120" w:before="80"/>
      </w:pPr>
      <w:r>
        <w:rPr>
          <w:rFonts w:ascii="Arial" w:cs="Arial" w:eastAsia="Arial" w:hAnsi="Arial"/>
          <w:color w:val="1A1A1A"/>
          <w:sz w:val="22"/>
          <w:szCs w:val="22"/>
        </w:rPr>
        <w:t xml:space="preserve">Before the public record is released, every researcher and the Neutral Witness signs the following attestation.</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Researcher Attests</w:t>
      </w:r>
    </w:p>
    <w:p>
      <w:pPr>
        <w:pStyle w:val="ListParagraph"/>
        <w:numPr>
          <w:ilvl w:val="0"/>
          <w:numId w:val="2"/>
        </w:numPr>
        <w:spacing w:after="60" w:before="60"/>
      </w:pPr>
      <w:r>
        <w:rPr>
          <w:rFonts w:ascii="Arial" w:cs="Arial" w:eastAsia="Arial" w:hAnsi="Arial"/>
          <w:color w:val="1A1A1A"/>
          <w:sz w:val="22"/>
          <w:szCs w:val="22"/>
        </w:rPr>
        <w:t xml:space="preserve">The bias documented in Step 0 reflects my honest prior beliefs before this inquiry began.</w:t>
      </w:r>
    </w:p>
    <w:p>
      <w:pPr>
        <w:pStyle w:val="ListParagraph"/>
        <w:numPr>
          <w:ilvl w:val="0"/>
          <w:numId w:val="2"/>
        </w:numPr>
        <w:spacing w:after="60" w:before="60"/>
      </w:pPr>
      <w:r>
        <w:rPr>
          <w:rFonts w:ascii="Arial" w:cs="Arial" w:eastAsia="Arial" w:hAnsi="Arial"/>
          <w:color w:val="1A1A1A"/>
          <w:sz w:val="22"/>
          <w:szCs w:val="22"/>
        </w:rPr>
        <w:t xml:space="preserve">The predictions in Step 5 were recorded and timestamped before any measurement was taken.</w:t>
      </w:r>
    </w:p>
    <w:p>
      <w:pPr>
        <w:pStyle w:val="ListParagraph"/>
        <w:numPr>
          <w:ilvl w:val="0"/>
          <w:numId w:val="2"/>
        </w:numPr>
        <w:spacing w:after="60" w:before="60"/>
      </w:pPr>
      <w:r>
        <w:rPr>
          <w:rFonts w:ascii="Arial" w:cs="Arial" w:eastAsia="Arial" w:hAnsi="Arial"/>
          <w:color w:val="1A1A1A"/>
          <w:sz w:val="22"/>
          <w:szCs w:val="22"/>
        </w:rPr>
        <w:t xml:space="preserve">No data was withheld, modified, or reconstructed from memory.</w:t>
      </w:r>
    </w:p>
    <w:p>
      <w:pPr>
        <w:pStyle w:val="ListParagraph"/>
        <w:numPr>
          <w:ilvl w:val="0"/>
          <w:numId w:val="2"/>
        </w:numPr>
        <w:spacing w:after="60" w:before="60"/>
      </w:pPr>
      <w:r>
        <w:rPr>
          <w:rFonts w:ascii="Arial" w:cs="Arial" w:eastAsia="Arial" w:hAnsi="Arial"/>
          <w:color w:val="1A1A1A"/>
          <w:sz w:val="22"/>
          <w:szCs w:val="22"/>
        </w:rPr>
        <w:t xml:space="preserve">All deviations from protocol were documented in real time.</w:t>
      </w:r>
    </w:p>
    <w:p>
      <w:pPr>
        <w:pStyle w:val="ListParagraph"/>
        <w:numPr>
          <w:ilvl w:val="0"/>
          <w:numId w:val="2"/>
        </w:numPr>
        <w:spacing w:after="60" w:before="60"/>
      </w:pPr>
      <w:r>
        <w:rPr>
          <w:rFonts w:ascii="Arial" w:cs="Arial" w:eastAsia="Arial" w:hAnsi="Arial"/>
          <w:color w:val="1A1A1A"/>
          <w:sz w:val="22"/>
          <w:szCs w:val="22"/>
        </w:rPr>
        <w:t xml:space="preserve">Every finding carries its accurate Category 1, 2, or 3 designation. No Category 2 inference is presented as a Category 1 finding.</w:t>
      </w:r>
    </w:p>
    <w:p>
      <w:pPr>
        <w:pStyle w:val="ListParagraph"/>
        <w:numPr>
          <w:ilvl w:val="0"/>
          <w:numId w:val="2"/>
        </w:numPr>
        <w:spacing w:after="60" w:before="60"/>
      </w:pPr>
      <w:r>
        <w:rPr>
          <w:rFonts w:ascii="Arial" w:cs="Arial" w:eastAsia="Arial" w:hAnsi="Arial"/>
          <w:color w:val="1A1A1A"/>
          <w:sz w:val="22"/>
          <w:szCs w:val="22"/>
        </w:rPr>
        <w:t xml:space="preserve">The proxy limitation — that at-home CBC markers are not equivalent to clinical NK cell assay — is disclosed clearly in my submission.</w:t>
      </w:r>
    </w:p>
    <w:p>
      <w:pPr>
        <w:pStyle w:val="ListParagraph"/>
        <w:numPr>
          <w:ilvl w:val="0"/>
          <w:numId w:val="2"/>
        </w:numPr>
        <w:spacing w:after="60" w:before="60"/>
      </w:pPr>
      <w:r>
        <w:rPr>
          <w:rFonts w:ascii="Arial" w:cs="Arial" w:eastAsia="Arial" w:hAnsi="Arial"/>
          <w:color w:val="1A1A1A"/>
          <w:sz w:val="22"/>
          <w:szCs w:val="22"/>
        </w:rPr>
        <w:t xml:space="preserve">The timestamp chain reflects the actual sequence of this inquiry.</w:t>
      </w:r>
    </w:p>
    <w:p>
      <w:pPr>
        <w:pStyle w:val="ListParagraph"/>
        <w:numPr>
          <w:ilvl w:val="0"/>
          <w:numId w:val="2"/>
        </w:numPr>
        <w:spacing w:after="60" w:before="60"/>
      </w:pPr>
      <w:r>
        <w:rPr>
          <w:rFonts w:ascii="Arial" w:cs="Arial" w:eastAsia="Arial" w:hAnsi="Arial"/>
          <w:color w:val="1A1A1A"/>
          <w:sz w:val="22"/>
          <w:szCs w:val="22"/>
        </w:rPr>
        <w:t xml:space="preserve">All conflicts of interest are disclosed in the Required Documentation Appendix.</w:t>
      </w:r>
    </w:p>
    <w:p>
      <w:pPr>
        <w:spacing w:after="0" w:before="200"/>
      </w:pPr>
      <w:r>
        <w:t xml:space="preserve"/>
      </w:r>
    </w:p>
    <w:p>
      <w:pPr>
        <w:spacing w:after="80" w:before="160"/>
      </w:pPr>
      <w:r>
        <w:rPr>
          <w:rFonts w:ascii="Arial" w:cs="Arial" w:eastAsia="Arial" w:hAnsi="Arial"/>
          <w:color w:val="1A1A1A"/>
          <w:sz w:val="22"/>
          <w:szCs w:val="22"/>
        </w:rPr>
        <w:t xml:space="preserve">Researcher Signature: ________________________________   Date: ______________</w:t>
      </w:r>
    </w:p>
    <w:p>
      <w:pPr>
        <w:spacing w:after="200" w:before="80"/>
      </w:pPr>
      <w:r>
        <w:rPr>
          <w:rFonts w:ascii="Arial" w:cs="Arial" w:eastAsia="Arial" w:hAnsi="Arial"/>
          <w:color w:val="1A1A1A"/>
          <w:sz w:val="22"/>
          <w:szCs w:val="22"/>
        </w:rPr>
        <w:t xml:space="preserve">Researcher Printed Name: ________________________________________________________________</w:t>
      </w:r>
    </w:p>
    <w:p>
      <w:pPr>
        <w:spacing w:after="0" w:before="120"/>
      </w:pPr>
      <w:r>
        <w:t xml:space="preserve"/>
      </w:r>
    </w:p>
    <w:p>
      <w:pPr>
        <w:pStyle w:val="Heading3"/>
        <w:spacing w:after="80" w:before="240"/>
      </w:pPr>
      <w:r>
        <w:rPr>
          <w:rFonts w:ascii="Arial" w:cs="Arial" w:eastAsia="Arial" w:hAnsi="Arial"/>
          <w:b/>
          <w:bCs/>
          <w:color w:val="4A4A4A"/>
          <w:sz w:val="22"/>
          <w:szCs w:val="22"/>
        </w:rPr>
        <w:t xml:space="preserve">Neutral Witness Attests</w:t>
      </w:r>
    </w:p>
    <w:p>
      <w:pPr>
        <w:pStyle w:val="ListParagraph"/>
        <w:numPr>
          <w:ilvl w:val="0"/>
          <w:numId w:val="2"/>
        </w:numPr>
        <w:spacing w:after="60" w:before="60"/>
      </w:pPr>
      <w:r>
        <w:rPr>
          <w:rFonts w:ascii="Arial" w:cs="Arial" w:eastAsia="Arial" w:hAnsi="Arial"/>
          <w:color w:val="1A1A1A"/>
          <w:sz w:val="22"/>
          <w:szCs w:val="22"/>
        </w:rPr>
        <w:t xml:space="preserve">I meet all independence criteria specified in this method and have documented the basis for that independence.</w:t>
      </w:r>
    </w:p>
    <w:p>
      <w:pPr>
        <w:pStyle w:val="ListParagraph"/>
        <w:numPr>
          <w:ilvl w:val="0"/>
          <w:numId w:val="2"/>
        </w:numPr>
        <w:spacing w:after="60" w:before="60"/>
      </w:pPr>
      <w:r>
        <w:rPr>
          <w:rFonts w:ascii="Arial" w:cs="Arial" w:eastAsia="Arial" w:hAnsi="Arial"/>
          <w:color w:val="1A1A1A"/>
          <w:sz w:val="22"/>
          <w:szCs w:val="22"/>
        </w:rPr>
        <w:t xml:space="preserve">I was present throughout all experiment sessions and observed the protocol being followed as written.</w:t>
      </w:r>
    </w:p>
    <w:p>
      <w:pPr>
        <w:pStyle w:val="ListParagraph"/>
        <w:numPr>
          <w:ilvl w:val="0"/>
          <w:numId w:val="2"/>
        </w:numPr>
        <w:spacing w:after="60" w:before="60"/>
      </w:pPr>
      <w:r>
        <w:rPr>
          <w:rFonts w:ascii="Arial" w:cs="Arial" w:eastAsia="Arial" w:hAnsi="Arial"/>
          <w:color w:val="1A1A1A"/>
          <w:sz w:val="22"/>
          <w:szCs w:val="22"/>
        </w:rPr>
        <w:t xml:space="preserve">I co-signed every timestamp in real time and can attest to the accuracy of the timing chain.</w:t>
      </w:r>
    </w:p>
    <w:p>
      <w:pPr>
        <w:pStyle w:val="ListParagraph"/>
        <w:numPr>
          <w:ilvl w:val="0"/>
          <w:numId w:val="2"/>
        </w:numPr>
        <w:spacing w:after="60" w:before="60"/>
      </w:pPr>
      <w:r>
        <w:rPr>
          <w:rFonts w:ascii="Arial" w:cs="Arial" w:eastAsia="Arial" w:hAnsi="Arial"/>
          <w:color w:val="1A1A1A"/>
          <w:sz w:val="22"/>
          <w:szCs w:val="22"/>
        </w:rPr>
        <w:t xml:space="preserve">I have reviewed the Recorder’s real-time notes and attest they accurately reflect what I observed.</w:t>
      </w:r>
    </w:p>
    <w:p>
      <w:pPr>
        <w:pStyle w:val="ListParagraph"/>
        <w:numPr>
          <w:ilvl w:val="0"/>
          <w:numId w:val="2"/>
        </w:numPr>
        <w:spacing w:after="60" w:before="60"/>
      </w:pPr>
      <w:r>
        <w:rPr>
          <w:rFonts w:ascii="Arial" w:cs="Arial" w:eastAsia="Arial" w:hAnsi="Arial"/>
          <w:color w:val="1A1A1A"/>
          <w:sz w:val="22"/>
          <w:szCs w:val="22"/>
        </w:rPr>
        <w:t xml:space="preserve">I observed the immune marker tests being conducted per manufacturer instructions and results recorded accurately.</w:t>
      </w:r>
    </w:p>
    <w:p>
      <w:pPr>
        <w:pStyle w:val="ListParagraph"/>
        <w:numPr>
          <w:ilvl w:val="0"/>
          <w:numId w:val="2"/>
        </w:numPr>
        <w:spacing w:after="60" w:before="60"/>
      </w:pPr>
      <w:r>
        <w:rPr>
          <w:rFonts w:ascii="Arial" w:cs="Arial" w:eastAsia="Arial" w:hAnsi="Arial"/>
          <w:color w:val="1A1A1A"/>
          <w:sz w:val="22"/>
          <w:szCs w:val="22"/>
        </w:rPr>
        <w:t xml:space="preserve">I have no knowledge of any deviation from protocol that was not documented in the public record.</w:t>
      </w:r>
    </w:p>
    <w:p>
      <w:pPr>
        <w:spacing w:after="0" w:before="200"/>
      </w:pPr>
      <w:r>
        <w:t xml:space="preserve"/>
      </w:r>
    </w:p>
    <w:p>
      <w:pPr>
        <w:spacing w:after="80" w:before="160"/>
      </w:pPr>
      <w:r>
        <w:rPr>
          <w:rFonts w:ascii="Arial" w:cs="Arial" w:eastAsia="Arial" w:hAnsi="Arial"/>
          <w:color w:val="1A1A1A"/>
          <w:sz w:val="22"/>
          <w:szCs w:val="22"/>
        </w:rPr>
        <w:t xml:space="preserve">Neutral Witness Signature: ________________________________   Date: ______________</w:t>
      </w:r>
    </w:p>
    <w:p>
      <w:pPr>
        <w:spacing w:after="80" w:before="80"/>
      </w:pPr>
      <w:r>
        <w:rPr>
          <w:rFonts w:ascii="Arial" w:cs="Arial" w:eastAsia="Arial" w:hAnsi="Arial"/>
          <w:color w:val="1A1A1A"/>
          <w:sz w:val="22"/>
          <w:szCs w:val="22"/>
        </w:rPr>
        <w:t xml:space="preserve">Neutral Witness Printed Name: ___________________________________________________________</w:t>
      </w:r>
    </w:p>
    <w:p>
      <w:pPr>
        <w:spacing w:after="240" w:before="80"/>
      </w:pPr>
      <w:r>
        <w:rPr>
          <w:rFonts w:ascii="Arial" w:cs="Arial" w:eastAsia="Arial" w:hAnsi="Arial"/>
          <w:color w:val="1A1A1A"/>
          <w:sz w:val="22"/>
          <w:szCs w:val="22"/>
        </w:rPr>
        <w:t xml:space="preserve">Neutral Witness Qualifications: _____________________________________________________________</w:t>
      </w:r>
    </w:p>
    <w:p>
      <w:pPr>
        <w:pBdr>
          <w:bottom w:val="single" w:color="C8A96E" w:sz="6" w:space="1"/>
        </w:pBdr>
        <w:spacing w:after="280" w:before="280"/>
      </w:pPr>
    </w:p>
    <w:p>
      <w:pPr>
        <w:pStyle w:val="Heading1"/>
        <w:spacing w:after="200" w:before="480"/>
      </w:pPr>
      <w:r>
        <w:rPr>
          <w:rFonts w:ascii="Arial" w:cs="Arial" w:eastAsia="Arial" w:hAnsi="Arial"/>
          <w:b/>
          <w:bCs/>
          <w:color w:val="8B4513"/>
          <w:sz w:val="36"/>
          <w:szCs w:val="36"/>
        </w:rPr>
        <w:t xml:space="preserve">Required Documentation Appendix</w:t>
      </w:r>
    </w:p>
    <w:p>
      <w:pPr>
        <w:spacing w:after="120" w:before="80"/>
      </w:pPr>
      <w:r>
        <w:rPr>
          <w:rFonts w:ascii="Arial" w:cs="Arial" w:eastAsia="Arial" w:hAnsi="Arial"/>
          <w:color w:val="1A1A1A"/>
          <w:sz w:val="22"/>
          <w:szCs w:val="22"/>
        </w:rPr>
        <w:t xml:space="preserve">Complete all six sections. This appendix is part of the public record — not optional supplementary material.</w:t>
      </w:r>
    </w:p>
    <w:p>
      <w:pPr>
        <w:spacing w:after="0" w:before="120"/>
      </w:pPr>
      <w:r>
        <w:t xml:space="preserve"/>
      </w:r>
    </w:p>
    <w:p>
      <w:pPr>
        <w:pStyle w:val="Heading2"/>
        <w:spacing w:after="120" w:before="320"/>
      </w:pPr>
      <w:r>
        <w:rPr>
          <w:rFonts w:ascii="Arial" w:cs="Arial" w:eastAsia="Arial" w:hAnsi="Arial"/>
          <w:b/>
          <w:bCs/>
          <w:color w:val="1A1A1A"/>
          <w:sz w:val="26"/>
          <w:szCs w:val="26"/>
        </w:rPr>
        <w:t xml:space="preserve">A. Literature Review</w:t>
      </w:r>
    </w:p>
    <w:p>
      <w:pPr>
        <w:spacing w:after="120" w:before="80"/>
      </w:pPr>
      <w:r>
        <w:rPr>
          <w:rFonts w:ascii="Arial" w:cs="Arial" w:eastAsia="Arial" w:hAnsi="Arial"/>
          <w:color w:val="1A1A1A"/>
          <w:sz w:val="22"/>
          <w:szCs w:val="22"/>
        </w:rPr>
        <w:t xml:space="preserve">Summarize the primary studies you read in Step 3. Trace each claim to its primary source. Note: the Touch a Tree video transcript that generated this protocol is a secondary synthesis. It correctly characterizes Li et al.’s findings but is not a primary source and cannot be cited as one in your submission.</w:t>
      </w:r>
    </w:p>
    <w:p>
      <w:pPr>
        <w:spacing w:after="0" w:before="120"/>
      </w:pPr>
      <w:r>
        <w:t xml:space="preserve"/>
      </w:r>
    </w:p>
    <w:p>
      <w:pPr>
        <w:pStyle w:val="Heading2"/>
        <w:spacing w:after="120" w:before="320"/>
      </w:pPr>
      <w:r>
        <w:rPr>
          <w:rFonts w:ascii="Arial" w:cs="Arial" w:eastAsia="Arial" w:hAnsi="Arial"/>
          <w:b/>
          <w:bCs/>
          <w:color w:val="1A1A1A"/>
          <w:sz w:val="26"/>
          <w:szCs w:val="26"/>
        </w:rPr>
        <w:t xml:space="preserve">B. Methodology Limitations</w:t>
      </w:r>
    </w:p>
    <w:p>
      <w:pPr>
        <w:pStyle w:val="ListParagraph"/>
        <w:numPr>
          <w:ilvl w:val="0"/>
          <w:numId w:val="2"/>
        </w:numPr>
        <w:spacing w:after="60" w:before="60"/>
      </w:pPr>
      <w:r>
        <w:rPr>
          <w:rFonts w:ascii="Arial" w:cs="Arial" w:eastAsia="Arial" w:hAnsi="Arial"/>
          <w:color w:val="1A1A1A"/>
          <w:sz w:val="22"/>
          <w:szCs w:val="22"/>
        </w:rPr>
        <w:t xml:space="preserve">At-home CBC tests are proxy markers for immune activity, not direct NK cell assays. Any Category 1 finding in this protocol is Category 1 for the proxy measurement only.</w:t>
      </w:r>
    </w:p>
    <w:p>
      <w:pPr>
        <w:pStyle w:val="ListParagraph"/>
        <w:numPr>
          <w:ilvl w:val="0"/>
          <w:numId w:val="2"/>
        </w:numPr>
        <w:spacing w:after="60" w:before="60"/>
      </w:pPr>
      <w:r>
        <w:rPr>
          <w:rFonts w:ascii="Arial" w:cs="Arial" w:eastAsia="Arial" w:hAnsi="Arial"/>
          <w:color w:val="1A1A1A"/>
          <w:sz w:val="22"/>
          <w:szCs w:val="22"/>
        </w:rPr>
        <w:t xml:space="preserve">Phytoncide concentration varies by tree species, season, temperature, humidity, and canopy density. Researchers in different locations and seasons encounter different phytoncide loads. Document all environmental variables in session metadata.</w:t>
      </w:r>
    </w:p>
    <w:p>
      <w:pPr>
        <w:pStyle w:val="ListParagraph"/>
        <w:numPr>
          <w:ilvl w:val="0"/>
          <w:numId w:val="2"/>
        </w:numPr>
        <w:spacing w:after="60" w:before="60"/>
      </w:pPr>
      <w:r>
        <w:rPr>
          <w:rFonts w:ascii="Arial" w:cs="Arial" w:eastAsia="Arial" w:hAnsi="Arial"/>
          <w:color w:val="1A1A1A"/>
          <w:sz w:val="22"/>
          <w:szCs w:val="22"/>
        </w:rPr>
        <w:t xml:space="preserve">The 2-hour minimum is derived from Li et al.’s controlled hotel room protocol. Forest session phytoncide exposure differs from hotel room diffusion in concentration, humidity, and ambient complexity. The 2-hour threshold may not produce equivalent exposure across all environments.</w:t>
      </w:r>
    </w:p>
    <w:p>
      <w:pPr>
        <w:pStyle w:val="ListParagraph"/>
        <w:numPr>
          <w:ilvl w:val="0"/>
          <w:numId w:val="2"/>
        </w:numPr>
        <w:spacing w:after="60" w:before="60"/>
      </w:pPr>
      <w:r>
        <w:rPr>
          <w:rFonts w:ascii="Arial" w:cs="Arial" w:eastAsia="Arial" w:hAnsi="Arial"/>
          <w:color w:val="1A1A1A"/>
          <w:sz w:val="22"/>
          <w:szCs w:val="22"/>
        </w:rPr>
        <w:t xml:space="preserve">This protocol cannot isolate phytoncide inhalation from grounding/electron transfer, reduced psychological stress, microbiome exposure, or visual/acoustic forest stimuli. Each is a potential confound. Tier 2 is designed to address these.</w:t>
      </w:r>
    </w:p>
    <w:p>
      <w:pPr>
        <w:pStyle w:val="ListParagraph"/>
        <w:numPr>
          <w:ilvl w:val="0"/>
          <w:numId w:val="2"/>
        </w:numPr>
        <w:spacing w:after="60" w:before="60"/>
      </w:pPr>
      <w:r>
        <w:rPr>
          <w:rFonts w:ascii="Arial" w:cs="Arial" w:eastAsia="Arial" w:hAnsi="Arial"/>
          <w:color w:val="1A1A1A"/>
          <w:sz w:val="22"/>
          <w:szCs w:val="22"/>
        </w:rPr>
        <w:t xml:space="preserve">Single-researcher studies cannot control for individual baseline immune variation, seasonal NK fluctuation, sleep quality, diet, or stress levels on session days. Document any significant deviations from normal health status on session days.</w:t>
      </w:r>
    </w:p>
    <w:p>
      <w:pPr>
        <w:spacing w:after="0" w:before="120"/>
      </w:pPr>
      <w:r>
        <w:t xml:space="preserve"/>
      </w:r>
    </w:p>
    <w:p>
      <w:pPr>
        <w:pStyle w:val="Heading2"/>
        <w:spacing w:after="120" w:before="320"/>
      </w:pPr>
      <w:r>
        <w:rPr>
          <w:rFonts w:ascii="Arial" w:cs="Arial" w:eastAsia="Arial" w:hAnsi="Arial"/>
          <w:b/>
          <w:bCs/>
          <w:color w:val="1A1A1A"/>
          <w:sz w:val="26"/>
          <w:szCs w:val="26"/>
        </w:rPr>
        <w:t xml:space="preserve">C. Conflict of Interest Disclosure</w:t>
      </w:r>
    </w:p>
    <w:p>
      <w:pPr>
        <w:spacing w:after="120" w:before="80"/>
      </w:pPr>
      <w:r>
        <w:rPr>
          <w:rFonts w:ascii="Arial" w:cs="Arial" w:eastAsia="Arial" w:hAnsi="Arial"/>
          <w:color w:val="1A1A1A"/>
          <w:sz w:val="22"/>
          <w:szCs w:val="22"/>
        </w:rPr>
        <w:t xml:space="preserve">Disclose completely: any financial relationship with forest therapy practitioners, wellness companies, supplement manufacturers, or any party with a stake in the outcome. Any institutional affiliation. Any prior public statements on forest health benefits. Note: Tymmber Outdoor Products has a product thesis that outdoor terrain exposure benefits human health. Researchers submitting to the Tymmber U portal should document this context.</w:t>
      </w:r>
    </w:p>
    <w:p>
      <w:pPr>
        <w:spacing w:after="0" w:before="120"/>
      </w:pPr>
      <w:r>
        <w:t xml:space="preserve"/>
      </w:r>
    </w:p>
    <w:p>
      <w:pPr>
        <w:pStyle w:val="Heading2"/>
        <w:spacing w:after="120" w:before="320"/>
      </w:pPr>
      <w:r>
        <w:rPr>
          <w:rFonts w:ascii="Arial" w:cs="Arial" w:eastAsia="Arial" w:hAnsi="Arial"/>
          <w:b/>
          <w:bCs/>
          <w:color w:val="1A1A1A"/>
          <w:sz w:val="26"/>
          <w:szCs w:val="26"/>
        </w:rPr>
        <w:t xml:space="preserve">D. Peer Review Record</w:t>
      </w:r>
    </w:p>
    <w:p>
      <w:pPr>
        <w:spacing w:after="120" w:before="80"/>
      </w:pPr>
      <w:r>
        <w:rPr>
          <w:rFonts w:ascii="Arial" w:cs="Arial" w:eastAsia="Arial" w:hAnsi="Arial"/>
          <w:color w:val="1A1A1A"/>
          <w:sz w:val="22"/>
          <w:szCs w:val="22"/>
        </w:rPr>
        <w:t xml:space="preserve">For Tier 1 citizen science: peer review consists of the Neutral Witness review of methodology and data during the experiment, plus public submission to the Tymmber U Natural Sciences portal where other researchers may examine methodology and findings. Document the Neutral Witness’s specific observations and any feedback received.</w:t>
      </w:r>
    </w:p>
    <w:p>
      <w:pPr>
        <w:spacing w:after="0" w:before="120"/>
      </w:pPr>
      <w:r>
        <w:t xml:space="preserve"/>
      </w:r>
    </w:p>
    <w:p>
      <w:pPr>
        <w:pStyle w:val="Heading2"/>
        <w:spacing w:after="120" w:before="320"/>
      </w:pPr>
      <w:r>
        <w:rPr>
          <w:rFonts w:ascii="Arial" w:cs="Arial" w:eastAsia="Arial" w:hAnsi="Arial"/>
          <w:b/>
          <w:bCs/>
          <w:color w:val="1A1A1A"/>
          <w:sz w:val="26"/>
          <w:szCs w:val="26"/>
        </w:rPr>
        <w:t xml:space="preserve">E. Replication Statement</w:t>
      </w:r>
    </w:p>
    <w:p>
      <w:pPr>
        <w:spacing w:after="120" w:before="80"/>
      </w:pPr>
      <w:r>
        <w:rPr>
          <w:rFonts w:ascii="Arial" w:cs="Arial" w:eastAsia="Arial" w:hAnsi="Arial"/>
          <w:color w:val="1A1A1A"/>
          <w:sz w:val="22"/>
          <w:szCs w:val="22"/>
        </w:rPr>
        <w:t xml:space="preserve">Equipment required: body voltage meter (AC millivolt capable), at-home immune proxy test (CBC or equivalent), digital thermometer, hygrometer (optional), ground rod minimum 12 inches, bound notebook, camera. Approximate total cost: $75–210 depending on test kit selection.</w:t>
      </w:r>
    </w:p>
    <w:p>
      <w:pPr>
        <w:spacing w:after="120" w:before="80"/>
      </w:pPr>
      <w:r>
        <w:rPr>
          <w:rFonts w:ascii="Arial" w:cs="Arial" w:eastAsia="Arial" w:hAnsi="Arial"/>
          <w:color w:val="1A1A1A"/>
          <w:sz w:val="22"/>
          <w:szCs w:val="22"/>
        </w:rPr>
        <w:t xml:space="preserve">Environmental parameters: Site A must be a natural forest with living trees. Site B must be standard indoor environment with WiFi and typical appliances active. Conduct sessions in the same season where possible to control for phytoncide seasonal variation. Ideally use the same tree species and site across all sessions.</w:t>
      </w:r>
    </w:p>
    <w:p>
      <w:pPr>
        <w:spacing w:after="120" w:before="80"/>
      </w:pPr>
      <w:r>
        <w:rPr>
          <w:rFonts w:ascii="Arial" w:cs="Arial" w:eastAsia="Arial" w:hAnsi="Arial"/>
          <w:color w:val="1A1A1A"/>
          <w:sz w:val="22"/>
          <w:szCs w:val="22"/>
        </w:rPr>
        <w:t xml:space="preserve">Timing: 2-hour minimum forest contact session. Immune marker tests at Day 0, Day 1, Day 7, and Day 30. Begin sessions at approximately the same time of day to control for circadian immune variation.</w:t>
      </w:r>
    </w:p>
    <w:p>
      <w:pPr>
        <w:spacing w:after="120" w:before="80"/>
      </w:pPr>
      <w:r>
        <w:rPr>
          <w:rFonts w:ascii="Arial" w:cs="Arial" w:eastAsia="Arial" w:hAnsi="Arial"/>
          <w:color w:val="1A1A1A"/>
          <w:sz w:val="22"/>
          <w:szCs w:val="22"/>
        </w:rPr>
        <w:t xml:space="preserve">Contact for replication inquiries: submissions@tymmberoutdoor.com</w:t>
      </w:r>
    </w:p>
    <w:p>
      <w:pPr>
        <w:spacing w:after="0" w:before="120"/>
      </w:pPr>
      <w:r>
        <w:t xml:space="preserve"/>
      </w:r>
    </w:p>
    <w:p>
      <w:pPr>
        <w:pStyle w:val="Heading2"/>
        <w:spacing w:after="120" w:before="320"/>
      </w:pPr>
      <w:r>
        <w:rPr>
          <w:rFonts w:ascii="Arial" w:cs="Arial" w:eastAsia="Arial" w:hAnsi="Arial"/>
          <w:b/>
          <w:bCs/>
          <w:color w:val="1A1A1A"/>
          <w:sz w:val="26"/>
          <w:szCs w:val="26"/>
        </w:rPr>
        <w:t xml:space="preserve">F. Complete Timestamp Chain</w:t>
      </w:r>
    </w:p>
    <w:p>
      <w:pPr>
        <w:spacing w:after="120" w:before="80"/>
      </w:pPr>
      <w:r>
        <w:rPr>
          <w:rFonts w:ascii="Arial" w:cs="Arial" w:eastAsia="Arial" w:hAnsi="Arial"/>
          <w:color w:val="1A1A1A"/>
          <w:sz w:val="22"/>
          <w:szCs w:val="22"/>
        </w:rPr>
        <w:t xml:space="preserve">Document every required timestamp with the Neutral Witness co-signature:</w:t>
      </w:r>
    </w:p>
    <w:p>
      <w:pPr>
        <w:pStyle w:val="ListParagraph"/>
        <w:numPr>
          <w:ilvl w:val="0"/>
          <w:numId w:val="3"/>
        </w:numPr>
        <w:spacing w:after="60" w:before="60"/>
      </w:pPr>
      <w:r>
        <w:rPr>
          <w:rFonts w:ascii="Arial" w:cs="Arial" w:eastAsia="Arial" w:hAnsi="Arial"/>
          <w:color w:val="1A1A1A"/>
          <w:sz w:val="22"/>
          <w:szCs w:val="22"/>
        </w:rPr>
        <w:t xml:space="preserve">Step 0: Bias documentation completed and co-signed before inquiry begins.</w:t>
      </w:r>
    </w:p>
    <w:p>
      <w:pPr>
        <w:pStyle w:val="ListParagraph"/>
        <w:numPr>
          <w:ilvl w:val="0"/>
          <w:numId w:val="3"/>
        </w:numPr>
        <w:spacing w:after="60" w:before="60"/>
      </w:pPr>
      <w:r>
        <w:rPr>
          <w:rFonts w:ascii="Arial" w:cs="Arial" w:eastAsia="Arial" w:hAnsi="Arial"/>
          <w:color w:val="1A1A1A"/>
          <w:sz w:val="22"/>
          <w:szCs w:val="22"/>
        </w:rPr>
        <w:t xml:space="preserve">Step 2: Neutral Witness confirmed and qualified before any research or measurement.</w:t>
      </w:r>
    </w:p>
    <w:p>
      <w:pPr>
        <w:pStyle w:val="ListParagraph"/>
        <w:numPr>
          <w:ilvl w:val="0"/>
          <w:numId w:val="3"/>
        </w:numPr>
        <w:spacing w:after="60" w:before="60"/>
      </w:pPr>
      <w:r>
        <w:rPr>
          <w:rFonts w:ascii="Arial" w:cs="Arial" w:eastAsia="Arial" w:hAnsi="Arial"/>
          <w:color w:val="1A1A1A"/>
          <w:sz w:val="22"/>
          <w:szCs w:val="22"/>
        </w:rPr>
        <w:t xml:space="preserve">Step 5: Predictions recorded and co-signed before any measurement begins.</w:t>
      </w:r>
    </w:p>
    <w:p>
      <w:pPr>
        <w:pStyle w:val="ListParagraph"/>
        <w:numPr>
          <w:ilvl w:val="0"/>
          <w:numId w:val="3"/>
        </w:numPr>
        <w:spacing w:after="60" w:before="60"/>
      </w:pPr>
      <w:r>
        <w:rPr>
          <w:rFonts w:ascii="Arial" w:cs="Arial" w:eastAsia="Arial" w:hAnsi="Arial"/>
          <w:color w:val="1A1A1A"/>
          <w:sz w:val="22"/>
          <w:szCs w:val="22"/>
        </w:rPr>
        <w:t xml:space="preserve">Step 6: Session initiation and conclusion timestamps co-signed for each session. Day 0, Day 1, Day 7, and Day 30 immune test timestamps recorded and co-signed.</w:t>
      </w:r>
    </w:p>
    <w:p>
      <w:pPr>
        <w:pStyle w:val="ListParagraph"/>
        <w:numPr>
          <w:ilvl w:val="0"/>
          <w:numId w:val="3"/>
        </w:numPr>
        <w:spacing w:after="60" w:before="60"/>
      </w:pPr>
      <w:r>
        <w:rPr>
          <w:rFonts w:ascii="Arial" w:cs="Arial" w:eastAsia="Arial" w:hAnsi="Arial"/>
          <w:color w:val="1A1A1A"/>
          <w:sz w:val="22"/>
          <w:szCs w:val="22"/>
        </w:rPr>
        <w:t xml:space="preserve">Step 8: Public record submission timestamp co-signed.</w:t>
      </w:r>
    </w:p>
    <w:p>
      <w:pPr>
        <w:spacing w:after="120" w:before="80"/>
      </w:pPr>
      <w:r>
        <w:rPr>
          <w:rFonts w:ascii="Arial" w:cs="Arial" w:eastAsia="Arial" w:hAnsi="Arial"/>
          <w:color w:val="1A1A1A"/>
          <w:sz w:val="22"/>
          <w:szCs w:val="22"/>
        </w:rPr>
        <w:t xml:space="preserve">Any gap in the chain must be documented with its reason.</w:t>
      </w:r>
    </w:p>
    <w:p>
      <w:pPr>
        <w:pBdr>
          <w:bottom w:val="single" w:color="C8A96E" w:sz="6" w:space="1"/>
        </w:pBdr>
        <w:spacing w:after="280" w:before="280"/>
      </w:pPr>
    </w:p>
    <w:p>
      <w:pPr>
        <w:spacing w:after="160" w:before="240"/>
      </w:pPr>
      <w:r>
        <w:rPr>
          <w:rFonts w:ascii="Arial" w:cs="Arial" w:eastAsia="Arial" w:hAnsi="Arial"/>
          <w:b/>
          <w:bCs/>
          <w:color w:val="8B4513"/>
          <w:sz w:val="26"/>
          <w:szCs w:val="26"/>
        </w:rPr>
        <w:t xml:space="preserve">Pathway to Tier 2 — TTC-NS-003</w:t>
      </w:r>
    </w:p>
    <w:p>
      <w:pPr>
        <w:spacing w:after="120" w:before="80"/>
      </w:pPr>
      <w:r>
        <w:rPr>
          <w:rFonts w:ascii="Arial" w:cs="Arial" w:eastAsia="Arial" w:hAnsi="Arial"/>
          <w:color w:val="1A1A1A"/>
          <w:sz w:val="22"/>
          <w:szCs w:val="22"/>
        </w:rPr>
        <w:t xml:space="preserve">TTC-NS-002 is the second rung. When sufficient Tier 1 data is aggregated across independent researchers — establishing the directional pattern, identifying the most sensitive proxy markers, and documenting the environmental variables that most affect results — TTC-NS-003 will be a Tier 2 clinical protocol using direct NK cell assay (flow cytometry), phytoncide air sampling via Tenax tube collection and GC-MS analysis, and simultaneous VGCC biomarker measurement. That is the study that closes the gap between citizen science observation and the clinical mechanism. Every dataset submitted to TTC-NS-002 builds the evidence base that justifies and designs that study. The citizen science floor builds the clinical ceiling.</w:t>
      </w:r>
    </w:p>
    <w:p>
      <w:pPr>
        <w:pBdr>
          <w:bottom w:val="single" w:color="C8A96E" w:sz="6" w:space="1"/>
        </w:pBdr>
        <w:spacing w:after="280" w:before="280"/>
      </w:pPr>
    </w:p>
    <w:p>
      <w:pPr>
        <w:spacing w:after="80" w:before="160"/>
      </w:pPr>
      <w:r>
        <w:rPr>
          <w:rFonts w:ascii="Arial" w:cs="Arial" w:eastAsia="Arial" w:hAnsi="Arial"/>
          <w:b/>
          <w:bCs/>
          <w:i/>
          <w:iCs/>
          <w:color w:val="8B4513"/>
          <w:sz w:val="28"/>
          <w:szCs w:val="28"/>
        </w:rPr>
        <w:t xml:space="preserve">Nullius in Verba.</w:t>
      </w:r>
    </w:p>
    <w:p>
      <w:pPr>
        <w:spacing w:after="80" w:before="0"/>
      </w:pPr>
      <w:r>
        <w:rPr>
          <w:rFonts w:ascii="Arial" w:cs="Arial" w:eastAsia="Arial" w:hAnsi="Arial"/>
          <w:i/>
          <w:iCs/>
          <w:color w:val="4A4A4A"/>
          <w:sz w:val="22"/>
          <w:szCs w:val="22"/>
        </w:rPr>
        <w:t xml:space="preserve">Take Nobody’s Word For It. Including Ours.</w:t>
      </w:r>
    </w:p>
    <w:p>
      <w:pPr>
        <w:spacing w:after="80" w:before="80"/>
      </w:pPr>
      <w:r>
        <w:rPr>
          <w:rFonts w:ascii="Arial" w:cs="Arial" w:eastAsia="Arial" w:hAnsi="Arial"/>
          <w:color w:val="4A4A4A"/>
          <w:sz w:val="18"/>
          <w:szCs w:val="18"/>
        </w:rPr>
        <w:t xml:space="preserve">Tymmber U  ·  Natural Sciences  ·  TTC-NS-002  ·  Version 1.0  ·  April 2026</w:t>
      </w:r>
    </w:p>
    <w:p>
      <w:pPr>
        <w:spacing w:after="80" w:before="0"/>
      </w:pPr>
      <w:r>
        <w:rPr>
          <w:rFonts w:ascii="Arial" w:cs="Arial" w:eastAsia="Arial" w:hAnsi="Arial"/>
          <w:color w:val="4A4A4A"/>
          <w:sz w:val="18"/>
          <w:szCs w:val="18"/>
        </w:rPr>
        <w:t xml:space="preserve">tymmberoutdoor.com  ·  Sierra County, New Mexico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8B4513"/>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1A1A1A"/>
      <w:sz w:val="26"/>
      <w:szCs w:val="26"/>
    </w:rPr>
  </w:style>
  <w:style w:type="paragraph" w:styleId="Heading3">
    <w:name w:val="Heading 3"/>
    <w:basedOn w:val="Normal"/>
    <w:next w:val="Normal"/>
    <w:qFormat/>
    <w:pPr>
      <w:spacing w:after="80" w:before="240"/>
      <w:outlineLvl w:val="2"/>
    </w:pPr>
    <w:rPr>
      <w:rFonts w:ascii="Arial" w:cs="Arial" w:eastAsia="Arial" w:hAnsi="Arial"/>
      <w:b/>
      <w:bCs/>
      <w:color w:val="4A4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2026-04-07T19:36:57.800Z</dcterms:created>
  <dcterms:modified xsi:type="dcterms:W3CDTF">2026-04-07T19:36:57.801Z</dcterms:modified>
</cp:coreProperties>
</file>

<file path=docProps/custom.xml><?xml version="1.0" encoding="utf-8"?>
<Properties xmlns="http://schemas.openxmlformats.org/officeDocument/2006/custom-properties" xmlns:vt="http://schemas.openxmlformats.org/officeDocument/2006/docPropsVTypes"/>
</file>